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A86C" w14:textId="537F2B43" w:rsidR="000C705C" w:rsidRDefault="00C76D71" w:rsidP="00102CAF">
      <w:pPr>
        <w:rPr>
          <w:b/>
          <w:bCs/>
          <w:u w:val="single"/>
        </w:rPr>
      </w:pPr>
      <w:bookmarkStart w:id="0" w:name="_Hlk87387065"/>
      <w:r w:rsidRPr="00C76D71">
        <w:rPr>
          <w:rStyle w:val="Kop1Char"/>
          <w:b/>
          <w:bCs/>
          <w:sz w:val="28"/>
          <w:szCs w:val="28"/>
        </w:rPr>
        <w:t>Formulier s</w:t>
      </w:r>
      <w:r w:rsidR="00102CAF" w:rsidRPr="00C76D71">
        <w:rPr>
          <w:rStyle w:val="Kop1Char"/>
          <w:b/>
          <w:bCs/>
          <w:sz w:val="28"/>
          <w:szCs w:val="28"/>
        </w:rPr>
        <w:t>taatssteun</w:t>
      </w:r>
      <w:r w:rsidRPr="00C76D71">
        <w:rPr>
          <w:rStyle w:val="Kop1Char"/>
          <w:b/>
          <w:bCs/>
          <w:sz w:val="28"/>
          <w:szCs w:val="28"/>
        </w:rPr>
        <w:t>analyse</w:t>
      </w:r>
      <w:bookmarkEnd w:id="0"/>
      <w:r>
        <w:rPr>
          <w:b/>
          <w:bCs/>
          <w:sz w:val="24"/>
          <w:szCs w:val="24"/>
        </w:rPr>
        <w:br/>
      </w:r>
      <w:r>
        <w:rPr>
          <w:b/>
          <w:bCs/>
          <w:sz w:val="24"/>
          <w:szCs w:val="24"/>
        </w:rPr>
        <w:br/>
      </w:r>
      <w:r w:rsidR="00102CAF" w:rsidRPr="00326FA1">
        <w:rPr>
          <w:b/>
          <w:bCs/>
          <w:sz w:val="24"/>
          <w:szCs w:val="24"/>
        </w:rPr>
        <w:t xml:space="preserve">artikel </w:t>
      </w:r>
      <w:r w:rsidR="000C705C">
        <w:rPr>
          <w:b/>
          <w:bCs/>
          <w:sz w:val="24"/>
          <w:szCs w:val="24"/>
        </w:rPr>
        <w:t>1</w:t>
      </w:r>
      <w:r w:rsidR="00354AD1">
        <w:rPr>
          <w:b/>
          <w:bCs/>
          <w:sz w:val="24"/>
          <w:szCs w:val="24"/>
        </w:rPr>
        <w:t>7</w:t>
      </w:r>
      <w:r w:rsidR="00326FA1">
        <w:rPr>
          <w:b/>
          <w:bCs/>
          <w:sz w:val="24"/>
          <w:szCs w:val="24"/>
        </w:rPr>
        <w:t>:</w:t>
      </w:r>
      <w:r>
        <w:rPr>
          <w:b/>
          <w:bCs/>
          <w:sz w:val="24"/>
          <w:szCs w:val="24"/>
        </w:rPr>
        <w:t xml:space="preserve"> </w:t>
      </w:r>
      <w:r w:rsidR="00354AD1">
        <w:rPr>
          <w:b/>
          <w:bCs/>
          <w:sz w:val="24"/>
          <w:szCs w:val="24"/>
        </w:rPr>
        <w:t>investeringssteun v</w:t>
      </w:r>
      <w:r w:rsidR="000C705C" w:rsidRPr="000C705C">
        <w:rPr>
          <w:b/>
          <w:bCs/>
          <w:sz w:val="24"/>
          <w:szCs w:val="24"/>
        </w:rPr>
        <w:t>oor kmo's</w:t>
      </w:r>
      <w:r w:rsidR="00615E39">
        <w:rPr>
          <w:b/>
          <w:bCs/>
          <w:u w:val="single"/>
        </w:rPr>
        <w:br/>
      </w:r>
      <w:bookmarkStart w:id="1" w:name="_Hlk87386336"/>
    </w:p>
    <w:p w14:paraId="0B4B2FA9" w14:textId="15D7C274" w:rsidR="00615E39" w:rsidRPr="00615E39" w:rsidRDefault="00615E39" w:rsidP="00102CAF">
      <w:pPr>
        <w:rPr>
          <w:b/>
          <w:bCs/>
          <w:u w:val="single"/>
        </w:rPr>
      </w:pPr>
      <w:r w:rsidRPr="00615E39">
        <w:rPr>
          <w:b/>
          <w:bCs/>
          <w:u w:val="single"/>
        </w:rPr>
        <w:t>Inleiding</w:t>
      </w:r>
    </w:p>
    <w:p w14:paraId="49CC8A10" w14:textId="3B9B3BC4" w:rsidR="00C47F95" w:rsidRPr="00495FA1" w:rsidRDefault="00ED1D74" w:rsidP="004D0AB4">
      <w:pPr>
        <w:jc w:val="both"/>
      </w:pPr>
      <w:r w:rsidRPr="00495FA1">
        <w:t xml:space="preserve">Om subsidie te mogen toekennen aan een project, moeten de activiteiten </w:t>
      </w:r>
      <w:r w:rsidR="00C47F95" w:rsidRPr="00495FA1">
        <w:t xml:space="preserve">‘staatssteunproof’ zijn. De Europese Commissie noemt de nodige voorwaarden op basis waarvan staatssteun mag worden verleend. Deze voorwaarden worden toegelicht in de artikelen van de zogenaamde </w:t>
      </w:r>
      <w:hyperlink r:id="rId8" w:history="1">
        <w:r w:rsidR="00C47F95" w:rsidRPr="00495FA1">
          <w:rPr>
            <w:rStyle w:val="Hyperlink"/>
            <w:color w:val="auto"/>
          </w:rPr>
          <w:t>Algemene Groepsvrijstellingsverordening </w:t>
        </w:r>
      </w:hyperlink>
      <w:r w:rsidR="00C47F95" w:rsidRPr="00495FA1">
        <w:t>(AGVV).</w:t>
      </w:r>
      <w:r w:rsidR="00337B85">
        <w:rPr>
          <w:rStyle w:val="Voetnootmarkering"/>
        </w:rPr>
        <w:footnoteReference w:id="2"/>
      </w:r>
      <w:r w:rsidR="00C47F95" w:rsidRPr="00495FA1">
        <w:t xml:space="preserve"> </w:t>
      </w:r>
    </w:p>
    <w:p w14:paraId="1D364D53" w14:textId="20441066" w:rsidR="00C47F95" w:rsidRPr="00495FA1" w:rsidRDefault="00C47F95" w:rsidP="004D0AB4">
      <w:pPr>
        <w:jc w:val="both"/>
      </w:pPr>
    </w:p>
    <w:p w14:paraId="6B111E3F" w14:textId="1F020265" w:rsidR="000C705C" w:rsidRDefault="00622124" w:rsidP="00354AD1">
      <w:pPr>
        <w:jc w:val="both"/>
      </w:pPr>
      <w:r w:rsidRPr="00495FA1">
        <w:t>Eén van de artikelen die gebruikt k</w:t>
      </w:r>
      <w:r w:rsidR="00495FA1">
        <w:t>an</w:t>
      </w:r>
      <w:r w:rsidRPr="00495FA1">
        <w:t xml:space="preserve"> worden is artikel </w:t>
      </w:r>
      <w:r w:rsidR="000C705C">
        <w:t>1</w:t>
      </w:r>
      <w:r w:rsidR="00354AD1">
        <w:t>7</w:t>
      </w:r>
      <w:r w:rsidRPr="00495FA1">
        <w:t>. Dit artikel gaat over</w:t>
      </w:r>
      <w:r w:rsidR="004D0AB4">
        <w:t xml:space="preserve"> </w:t>
      </w:r>
      <w:r w:rsidR="00354AD1">
        <w:t>investeringssteun ten behoeve van kmo's die binnen of buiten het grondgebied van de Unie actief zijn</w:t>
      </w:r>
      <w:r w:rsidR="000C705C">
        <w:t>.</w:t>
      </w:r>
    </w:p>
    <w:p w14:paraId="6D35C4F9" w14:textId="60BFD744" w:rsidR="00495FA1" w:rsidRDefault="00622124" w:rsidP="004D0AB4">
      <w:pPr>
        <w:jc w:val="both"/>
      </w:pPr>
      <w:r w:rsidRPr="00495FA1">
        <w:br/>
        <w:t>In d</w:t>
      </w:r>
      <w:r w:rsidR="00C76D71">
        <w:t xml:space="preserve">it </w:t>
      </w:r>
      <w:bookmarkStart w:id="4" w:name="_Hlk87387108"/>
      <w:r w:rsidR="00C76D71">
        <w:t xml:space="preserve">formulier </w:t>
      </w:r>
      <w:r w:rsidRPr="00495FA1">
        <w:t>staatssteun</w:t>
      </w:r>
      <w:r w:rsidR="00C76D71">
        <w:t>analyse</w:t>
      </w:r>
      <w:r w:rsidRPr="00495FA1">
        <w:t xml:space="preserve"> </w:t>
      </w:r>
      <w:bookmarkEnd w:id="4"/>
      <w:r w:rsidRPr="00495FA1">
        <w:t>is het aan de aanvrager om</w:t>
      </w:r>
      <w:r w:rsidR="00F82C28" w:rsidRPr="00495FA1">
        <w:t xml:space="preserve"> in de tekstvakken,</w:t>
      </w:r>
      <w:r w:rsidRPr="00495FA1">
        <w:t xml:space="preserve"> per lid van artikel </w:t>
      </w:r>
      <w:r w:rsidR="000C705C">
        <w:t>1</w:t>
      </w:r>
      <w:r w:rsidR="00354AD1">
        <w:t>7</w:t>
      </w:r>
      <w:r w:rsidR="00F82C28" w:rsidRPr="00495FA1">
        <w:t>,</w:t>
      </w:r>
      <w:r w:rsidRPr="00495FA1">
        <w:t xml:space="preserve"> aan te geven waarom het project voldoet aan de gestelde voorwaarden. </w:t>
      </w:r>
      <w:r>
        <w:br/>
      </w:r>
    </w:p>
    <w:p w14:paraId="6E35E2C8" w14:textId="03E17FA8" w:rsidR="00622124" w:rsidRDefault="00495FA1" w:rsidP="00102CAF">
      <w:r>
        <w:t xml:space="preserve">Let op: u geeft een toelichting in de tekstblokken. </w:t>
      </w:r>
      <w:r w:rsidR="00622124">
        <w:t xml:space="preserve"> </w:t>
      </w:r>
    </w:p>
    <w:bookmarkEnd w:id="1"/>
    <w:p w14:paraId="071FD143" w14:textId="77777777" w:rsidR="00495FA1" w:rsidRDefault="00495FA1" w:rsidP="00102CAF"/>
    <w:p w14:paraId="6DD0FC3E" w14:textId="77777777" w:rsidR="00495FA1" w:rsidRDefault="00495FA1" w:rsidP="00102CAF">
      <w:pPr>
        <w:rPr>
          <w:b/>
          <w:bCs/>
          <w:i/>
          <w:iCs/>
        </w:rPr>
      </w:pPr>
    </w:p>
    <w:p w14:paraId="426EF775" w14:textId="4D295D41" w:rsidR="005A73BD" w:rsidRDefault="00F82C28" w:rsidP="005A73BD">
      <w:pPr>
        <w:jc w:val="both"/>
        <w:rPr>
          <w:b/>
          <w:bCs/>
          <w:i/>
          <w:iCs/>
          <w:u w:val="single"/>
        </w:rPr>
      </w:pPr>
      <w:bookmarkStart w:id="5" w:name="_Hlk87387140"/>
      <w:r w:rsidRPr="00326FA1">
        <w:rPr>
          <w:b/>
          <w:bCs/>
          <w:i/>
          <w:iCs/>
          <w:u w:val="single"/>
        </w:rPr>
        <w:t xml:space="preserve">Art </w:t>
      </w:r>
      <w:r w:rsidR="000C705C">
        <w:rPr>
          <w:b/>
          <w:bCs/>
          <w:i/>
          <w:iCs/>
          <w:u w:val="single"/>
        </w:rPr>
        <w:t>1</w:t>
      </w:r>
      <w:r w:rsidR="00354AD1">
        <w:rPr>
          <w:b/>
          <w:bCs/>
          <w:i/>
          <w:iCs/>
          <w:u w:val="single"/>
        </w:rPr>
        <w:t>7</w:t>
      </w:r>
      <w:r w:rsidRPr="00326FA1">
        <w:rPr>
          <w:b/>
          <w:bCs/>
          <w:i/>
          <w:iCs/>
          <w:u w:val="single"/>
        </w:rPr>
        <w:t>, lid 1:</w:t>
      </w:r>
      <w:bookmarkEnd w:id="5"/>
    </w:p>
    <w:p w14:paraId="29828BD6" w14:textId="62CC9B7A" w:rsidR="000C705C" w:rsidRPr="00354AD1" w:rsidRDefault="00354AD1" w:rsidP="00354AD1">
      <w:pPr>
        <w:jc w:val="both"/>
        <w:rPr>
          <w:i/>
          <w:iCs/>
        </w:rPr>
      </w:pPr>
      <w:r w:rsidRPr="00354AD1">
        <w:rPr>
          <w:i/>
          <w:iCs/>
        </w:rPr>
        <w:t>Investeringssteun ten behoeve van kmo's die binnen of buiten het grondgebied van de Unie actief zijn, is verenigbaar met de interne markt in de zin van artikel 107, lid 3, van het Verdrag en is van de aanmeldingsverplichting van artikel 108, lid 3, van het Verdrag vrijgesteld, mits de in dit artikel en in hoofdstuk I vastgestelde voorwaarden zijn vervuld.</w:t>
      </w:r>
    </w:p>
    <w:p w14:paraId="2D51B975" w14:textId="77777777" w:rsidR="00354AD1" w:rsidRDefault="00354AD1" w:rsidP="00F635D2">
      <w:bookmarkStart w:id="6" w:name="_Hlk87387169"/>
    </w:p>
    <w:p w14:paraId="350E1B6C" w14:textId="065CB328" w:rsidR="00F635D2" w:rsidRDefault="00F635D2" w:rsidP="00F635D2">
      <w:r>
        <w:t>Inleidend lid, geen toelichting nodig</w:t>
      </w:r>
    </w:p>
    <w:bookmarkEnd w:id="6"/>
    <w:p w14:paraId="464098F4" w14:textId="793EBFDE" w:rsidR="00F635D2" w:rsidRDefault="00F635D2" w:rsidP="00102CAF"/>
    <w:p w14:paraId="36336037" w14:textId="77777777" w:rsidR="00F82C28" w:rsidRDefault="00F82C28" w:rsidP="00102CAF">
      <w:pPr>
        <w:rPr>
          <w:i/>
          <w:iCs/>
        </w:rPr>
      </w:pPr>
    </w:p>
    <w:p w14:paraId="74BF1368" w14:textId="2BD7735C" w:rsidR="005A73BD" w:rsidRDefault="00F82C28" w:rsidP="005A73BD">
      <w:pPr>
        <w:jc w:val="both"/>
        <w:rPr>
          <w:b/>
          <w:bCs/>
          <w:i/>
          <w:iCs/>
          <w:u w:val="single"/>
        </w:rPr>
      </w:pPr>
      <w:r w:rsidRPr="00326FA1">
        <w:rPr>
          <w:b/>
          <w:bCs/>
          <w:i/>
          <w:iCs/>
          <w:u w:val="single"/>
        </w:rPr>
        <w:t xml:space="preserve">Art. </w:t>
      </w:r>
      <w:r w:rsidR="000C705C">
        <w:rPr>
          <w:b/>
          <w:bCs/>
          <w:i/>
          <w:iCs/>
          <w:u w:val="single"/>
        </w:rPr>
        <w:t>1</w:t>
      </w:r>
      <w:r w:rsidR="00354AD1">
        <w:rPr>
          <w:b/>
          <w:bCs/>
          <w:i/>
          <w:iCs/>
          <w:u w:val="single"/>
        </w:rPr>
        <w:t>7</w:t>
      </w:r>
      <w:r w:rsidRPr="00326FA1">
        <w:rPr>
          <w:b/>
          <w:bCs/>
          <w:i/>
          <w:iCs/>
          <w:u w:val="single"/>
        </w:rPr>
        <w:t xml:space="preserve">, lid </w:t>
      </w:r>
      <w:r w:rsidR="00102CAF" w:rsidRPr="00326FA1">
        <w:rPr>
          <w:b/>
          <w:bCs/>
          <w:i/>
          <w:iCs/>
          <w:u w:val="single"/>
        </w:rPr>
        <w:t>2</w:t>
      </w:r>
      <w:r w:rsidRPr="00326FA1">
        <w:rPr>
          <w:b/>
          <w:bCs/>
          <w:i/>
          <w:iCs/>
          <w:u w:val="single"/>
        </w:rPr>
        <w:t>:</w:t>
      </w:r>
    </w:p>
    <w:p w14:paraId="17603768" w14:textId="77777777" w:rsidR="00354AD1" w:rsidRPr="00BD1A7C" w:rsidRDefault="00354AD1" w:rsidP="00BD1A7C">
      <w:pPr>
        <w:jc w:val="both"/>
        <w:rPr>
          <w:i/>
          <w:iCs/>
        </w:rPr>
      </w:pPr>
      <w:r w:rsidRPr="00BD1A7C">
        <w:rPr>
          <w:i/>
          <w:iCs/>
        </w:rPr>
        <w:t xml:space="preserve">De in aanmerking komende kosten zijn: </w:t>
      </w:r>
    </w:p>
    <w:p w14:paraId="16AF233E" w14:textId="77777777" w:rsidR="00354AD1" w:rsidRPr="00BD1A7C" w:rsidRDefault="00354AD1" w:rsidP="00BD1A7C">
      <w:pPr>
        <w:jc w:val="both"/>
        <w:rPr>
          <w:i/>
          <w:iCs/>
        </w:rPr>
      </w:pPr>
    </w:p>
    <w:p w14:paraId="6F932D1C" w14:textId="77777777" w:rsidR="00354AD1" w:rsidRPr="00BD1A7C" w:rsidRDefault="00354AD1" w:rsidP="00BD1A7C">
      <w:pPr>
        <w:jc w:val="both"/>
        <w:rPr>
          <w:i/>
          <w:iCs/>
        </w:rPr>
      </w:pPr>
      <w:r w:rsidRPr="00BD1A7C">
        <w:rPr>
          <w:i/>
          <w:iCs/>
        </w:rPr>
        <w:t xml:space="preserve">a) de kosten van investeringen in materiële en immateriële activa, en/of </w:t>
      </w:r>
    </w:p>
    <w:p w14:paraId="4FED3D52" w14:textId="77777777" w:rsidR="00354AD1" w:rsidRPr="00BD1A7C" w:rsidRDefault="00354AD1" w:rsidP="00BD1A7C">
      <w:pPr>
        <w:jc w:val="both"/>
        <w:rPr>
          <w:i/>
          <w:iCs/>
        </w:rPr>
      </w:pPr>
    </w:p>
    <w:p w14:paraId="5C9B7B02" w14:textId="3CA43249" w:rsidR="000C705C" w:rsidRPr="00BD1A7C" w:rsidRDefault="00354AD1" w:rsidP="00BD1A7C">
      <w:pPr>
        <w:jc w:val="both"/>
        <w:rPr>
          <w:i/>
          <w:iCs/>
        </w:rPr>
      </w:pPr>
      <w:r w:rsidRPr="00BD1A7C">
        <w:rPr>
          <w:i/>
          <w:iCs/>
        </w:rPr>
        <w:t>b) de geraamde loonkosten voor rechtstreeks door het investeringsproject gecreëerde banen, berekend over een periode van twee jaar</w:t>
      </w:r>
    </w:p>
    <w:p w14:paraId="0E197716" w14:textId="6AB97BAE" w:rsidR="00102CAF" w:rsidRDefault="00102CAF" w:rsidP="00102CAF"/>
    <w:p w14:paraId="252C6A1C" w14:textId="25045778" w:rsidR="005A73BD" w:rsidRDefault="005A73BD" w:rsidP="00102CAF"/>
    <w:p w14:paraId="15CF3077" w14:textId="37DA754B" w:rsidR="005A73BD" w:rsidRDefault="002A62AB" w:rsidP="005A73BD">
      <w:pPr>
        <w:jc w:val="both"/>
        <w:rPr>
          <w:b/>
          <w:bCs/>
          <w:i/>
          <w:iCs/>
          <w:u w:val="single"/>
        </w:rPr>
      </w:pPr>
      <w:r w:rsidRPr="00326FA1">
        <w:rPr>
          <w:b/>
          <w:bCs/>
          <w:i/>
          <w:iCs/>
          <w:u w:val="single"/>
        </w:rPr>
        <w:t xml:space="preserve">Art. </w:t>
      </w:r>
      <w:r w:rsidR="000C705C">
        <w:rPr>
          <w:b/>
          <w:bCs/>
          <w:i/>
          <w:iCs/>
          <w:u w:val="single"/>
        </w:rPr>
        <w:t>1</w:t>
      </w:r>
      <w:r w:rsidR="00354AD1">
        <w:rPr>
          <w:b/>
          <w:bCs/>
          <w:i/>
          <w:iCs/>
          <w:u w:val="single"/>
        </w:rPr>
        <w:t>7</w:t>
      </w:r>
      <w:r w:rsidR="00D1166C" w:rsidRPr="00326FA1">
        <w:rPr>
          <w:b/>
          <w:bCs/>
          <w:i/>
          <w:iCs/>
          <w:u w:val="single"/>
        </w:rPr>
        <w:t>,</w:t>
      </w:r>
      <w:r w:rsidRPr="00326FA1">
        <w:rPr>
          <w:b/>
          <w:bCs/>
          <w:i/>
          <w:iCs/>
          <w:u w:val="single"/>
        </w:rPr>
        <w:t xml:space="preserve"> lid </w:t>
      </w:r>
      <w:r w:rsidR="00102CAF" w:rsidRPr="00326FA1">
        <w:rPr>
          <w:b/>
          <w:bCs/>
          <w:i/>
          <w:iCs/>
          <w:u w:val="single"/>
        </w:rPr>
        <w:t>3</w:t>
      </w:r>
      <w:r w:rsidRPr="00326FA1">
        <w:rPr>
          <w:b/>
          <w:bCs/>
          <w:i/>
          <w:iCs/>
          <w:u w:val="single"/>
        </w:rPr>
        <w:t>:</w:t>
      </w:r>
    </w:p>
    <w:p w14:paraId="115D4845" w14:textId="77777777" w:rsidR="00354AD1" w:rsidRPr="00354AD1" w:rsidRDefault="00354AD1" w:rsidP="005A73BD">
      <w:pPr>
        <w:jc w:val="both"/>
        <w:rPr>
          <w:i/>
          <w:iCs/>
        </w:rPr>
      </w:pPr>
      <w:r w:rsidRPr="00354AD1">
        <w:rPr>
          <w:i/>
          <w:iCs/>
        </w:rPr>
        <w:t xml:space="preserve">Om als in aanmerking komende kosten onder de toepassing van dit artikel te kunnen vallen, bestaat een investering in: </w:t>
      </w:r>
    </w:p>
    <w:p w14:paraId="18AF15A9" w14:textId="77777777" w:rsidR="00354AD1" w:rsidRPr="00354AD1" w:rsidRDefault="00354AD1" w:rsidP="005A73BD">
      <w:pPr>
        <w:jc w:val="both"/>
        <w:rPr>
          <w:i/>
          <w:iCs/>
        </w:rPr>
      </w:pPr>
    </w:p>
    <w:p w14:paraId="6BAA09E1" w14:textId="77777777" w:rsidR="00354AD1" w:rsidRPr="00354AD1" w:rsidRDefault="00354AD1" w:rsidP="005A73BD">
      <w:pPr>
        <w:jc w:val="both"/>
        <w:rPr>
          <w:i/>
          <w:iCs/>
        </w:rPr>
      </w:pPr>
      <w:r w:rsidRPr="00354AD1">
        <w:rPr>
          <w:i/>
          <w:iCs/>
        </w:rPr>
        <w:t xml:space="preserve">a) een investering in materiële en/of immateriële activa ten behoeve van de oprichting van een nieuwe vestiging, de uitbreiding van een bestaande vestiging, de diversificatie van de productie van een bestaande vestiging in nieuwe, bijkomende producten, of een fundamentele wijziging van het volledige productieproces van een bestaande vestiging, of </w:t>
      </w:r>
    </w:p>
    <w:p w14:paraId="31686783" w14:textId="77777777" w:rsidR="00354AD1" w:rsidRPr="00354AD1" w:rsidRDefault="00354AD1" w:rsidP="005A73BD">
      <w:pPr>
        <w:jc w:val="both"/>
        <w:rPr>
          <w:i/>
          <w:iCs/>
        </w:rPr>
      </w:pPr>
    </w:p>
    <w:p w14:paraId="0CB5F45A" w14:textId="77777777" w:rsidR="00354AD1" w:rsidRPr="00354AD1" w:rsidRDefault="00354AD1" w:rsidP="005A73BD">
      <w:pPr>
        <w:jc w:val="both"/>
        <w:rPr>
          <w:i/>
          <w:iCs/>
        </w:rPr>
      </w:pPr>
      <w:r w:rsidRPr="00354AD1">
        <w:rPr>
          <w:i/>
          <w:iCs/>
        </w:rPr>
        <w:t xml:space="preserve">b) de overname van activa die behoren tot een vestiging, wanneer de volgende voorwaarden zijn vervuld: — de vestiging is gesloten of zou zijn gesloten indien zij niet was overgenomen; </w:t>
      </w:r>
      <w:r w:rsidRPr="00354AD1">
        <w:rPr>
          <w:i/>
          <w:iCs/>
        </w:rPr>
        <w:lastRenderedPageBreak/>
        <w:t xml:space="preserve">— de activa worden aangekocht van derden zonder banden met de koper; — de transactie vindt op marktvoorwaarden plaats. Wanneer een lid van de familie van de oorspronkelijke eigenaar of een werknemer een kleine onderneming overneemt, vervalt de voorwaarde dat de activa worden verworven van derden zonder banden met de koper. De enkele verwerving van de aandelen van een onderneming vormt geen initiële investering. </w:t>
      </w:r>
    </w:p>
    <w:p w14:paraId="31AEF98E" w14:textId="3B4BB010" w:rsidR="00354AD1" w:rsidRDefault="00354AD1" w:rsidP="005A73BD">
      <w:pPr>
        <w:jc w:val="both"/>
      </w:pPr>
    </w:p>
    <w:p w14:paraId="61AE3A97" w14:textId="77777777" w:rsidR="00354AD1" w:rsidRDefault="00354AD1" w:rsidP="005A73BD">
      <w:pPr>
        <w:jc w:val="both"/>
      </w:pPr>
    </w:p>
    <w:p w14:paraId="7DE1EDCD" w14:textId="64F23798" w:rsidR="00354AD1" w:rsidRPr="00354AD1" w:rsidRDefault="00354AD1" w:rsidP="005A73BD">
      <w:pPr>
        <w:jc w:val="both"/>
        <w:rPr>
          <w:b/>
          <w:bCs/>
          <w:i/>
          <w:iCs/>
          <w:u w:val="single"/>
        </w:rPr>
      </w:pPr>
      <w:r w:rsidRPr="00326FA1">
        <w:rPr>
          <w:b/>
          <w:bCs/>
          <w:i/>
          <w:iCs/>
          <w:u w:val="single"/>
        </w:rPr>
        <w:t xml:space="preserve">Art. </w:t>
      </w:r>
      <w:r>
        <w:rPr>
          <w:b/>
          <w:bCs/>
          <w:i/>
          <w:iCs/>
          <w:u w:val="single"/>
        </w:rPr>
        <w:t>17</w:t>
      </w:r>
      <w:r w:rsidRPr="00326FA1">
        <w:rPr>
          <w:b/>
          <w:bCs/>
          <w:i/>
          <w:iCs/>
          <w:u w:val="single"/>
        </w:rPr>
        <w:t>, lid 4</w:t>
      </w:r>
      <w:r>
        <w:rPr>
          <w:b/>
          <w:bCs/>
          <w:i/>
          <w:iCs/>
          <w:u w:val="single"/>
        </w:rPr>
        <w:t>:</w:t>
      </w:r>
    </w:p>
    <w:p w14:paraId="6D27A66B" w14:textId="77777777" w:rsidR="00354AD1" w:rsidRPr="00354AD1" w:rsidRDefault="00354AD1" w:rsidP="005A73BD">
      <w:pPr>
        <w:jc w:val="both"/>
        <w:rPr>
          <w:i/>
          <w:iCs/>
        </w:rPr>
      </w:pPr>
      <w:r w:rsidRPr="00354AD1">
        <w:rPr>
          <w:i/>
          <w:iCs/>
        </w:rPr>
        <w:t xml:space="preserve">De immateriële activa voldoen aan elk van de volgende voorwaarden: </w:t>
      </w:r>
    </w:p>
    <w:p w14:paraId="16E66E22" w14:textId="77777777" w:rsidR="00354AD1" w:rsidRPr="00354AD1" w:rsidRDefault="00354AD1" w:rsidP="005A73BD">
      <w:pPr>
        <w:jc w:val="both"/>
        <w:rPr>
          <w:i/>
          <w:iCs/>
        </w:rPr>
      </w:pPr>
    </w:p>
    <w:p w14:paraId="42D33D93" w14:textId="77777777" w:rsidR="00354AD1" w:rsidRPr="00354AD1" w:rsidRDefault="00354AD1" w:rsidP="005A73BD">
      <w:pPr>
        <w:jc w:val="both"/>
        <w:rPr>
          <w:i/>
          <w:iCs/>
        </w:rPr>
      </w:pPr>
      <w:r w:rsidRPr="00354AD1">
        <w:rPr>
          <w:i/>
          <w:iCs/>
        </w:rPr>
        <w:t xml:space="preserve">a) zij worden uitsluitend in de steun ontvangende vestiging gebruikt; </w:t>
      </w:r>
    </w:p>
    <w:p w14:paraId="10DB376B" w14:textId="77777777" w:rsidR="00354AD1" w:rsidRPr="00354AD1" w:rsidRDefault="00354AD1" w:rsidP="005A73BD">
      <w:pPr>
        <w:jc w:val="both"/>
        <w:rPr>
          <w:i/>
          <w:iCs/>
        </w:rPr>
      </w:pPr>
    </w:p>
    <w:p w14:paraId="54CCC745" w14:textId="77777777" w:rsidR="00354AD1" w:rsidRPr="00354AD1" w:rsidRDefault="00354AD1" w:rsidP="005A73BD">
      <w:pPr>
        <w:jc w:val="both"/>
        <w:rPr>
          <w:i/>
          <w:iCs/>
        </w:rPr>
      </w:pPr>
      <w:r w:rsidRPr="00354AD1">
        <w:rPr>
          <w:i/>
          <w:iCs/>
        </w:rPr>
        <w:t xml:space="preserve">b) zij worden als afschrijfbare activa beschouwd; </w:t>
      </w:r>
    </w:p>
    <w:p w14:paraId="238001A6" w14:textId="77777777" w:rsidR="00354AD1" w:rsidRPr="00354AD1" w:rsidRDefault="00354AD1" w:rsidP="005A73BD">
      <w:pPr>
        <w:jc w:val="both"/>
        <w:rPr>
          <w:i/>
          <w:iCs/>
        </w:rPr>
      </w:pPr>
    </w:p>
    <w:p w14:paraId="2EAF6E7D" w14:textId="77777777" w:rsidR="00354AD1" w:rsidRPr="00354AD1" w:rsidRDefault="00354AD1" w:rsidP="005A73BD">
      <w:pPr>
        <w:jc w:val="both"/>
        <w:rPr>
          <w:i/>
          <w:iCs/>
        </w:rPr>
      </w:pPr>
      <w:r w:rsidRPr="00354AD1">
        <w:rPr>
          <w:i/>
          <w:iCs/>
        </w:rPr>
        <w:t xml:space="preserve">c) zij worden op marktvoorwaarden aangekocht van derden zonder banden met de koper, en </w:t>
      </w:r>
    </w:p>
    <w:p w14:paraId="612B6FBE" w14:textId="77777777" w:rsidR="00354AD1" w:rsidRPr="00354AD1" w:rsidRDefault="00354AD1" w:rsidP="005A73BD">
      <w:pPr>
        <w:jc w:val="both"/>
        <w:rPr>
          <w:i/>
          <w:iCs/>
        </w:rPr>
      </w:pPr>
    </w:p>
    <w:p w14:paraId="37EE066A" w14:textId="1B2E7AD8" w:rsidR="000C705C" w:rsidRPr="00354AD1" w:rsidRDefault="00354AD1" w:rsidP="005A73BD">
      <w:pPr>
        <w:jc w:val="both"/>
        <w:rPr>
          <w:b/>
          <w:bCs/>
          <w:i/>
          <w:iCs/>
          <w:u w:val="single"/>
        </w:rPr>
      </w:pPr>
      <w:r w:rsidRPr="00354AD1">
        <w:rPr>
          <w:i/>
          <w:iCs/>
        </w:rPr>
        <w:t>d) zij behoren ten minste drie jaar tot de activa van de onderneming.</w:t>
      </w:r>
    </w:p>
    <w:p w14:paraId="531A142A" w14:textId="12B6E753" w:rsidR="000C705C" w:rsidRDefault="000C705C" w:rsidP="005A73BD">
      <w:pPr>
        <w:jc w:val="both"/>
        <w:rPr>
          <w:b/>
          <w:bCs/>
          <w:i/>
          <w:iCs/>
          <w:u w:val="single"/>
        </w:rPr>
      </w:pPr>
    </w:p>
    <w:p w14:paraId="29C65464" w14:textId="76B910E4" w:rsidR="000C705C" w:rsidRDefault="000C705C" w:rsidP="005A73BD">
      <w:pPr>
        <w:jc w:val="both"/>
        <w:rPr>
          <w:b/>
          <w:bCs/>
          <w:i/>
          <w:iCs/>
          <w:u w:val="single"/>
        </w:rPr>
      </w:pPr>
    </w:p>
    <w:p w14:paraId="6B00F7C0" w14:textId="5475C702" w:rsidR="005A73BD" w:rsidRDefault="00D1166C" w:rsidP="005A73BD">
      <w:pPr>
        <w:jc w:val="both"/>
        <w:rPr>
          <w:b/>
          <w:bCs/>
          <w:i/>
          <w:iCs/>
          <w:u w:val="single"/>
        </w:rPr>
      </w:pPr>
      <w:r w:rsidRPr="00326FA1">
        <w:rPr>
          <w:b/>
          <w:bCs/>
          <w:i/>
          <w:iCs/>
          <w:u w:val="single"/>
        </w:rPr>
        <w:t xml:space="preserve">Art. </w:t>
      </w:r>
      <w:r w:rsidR="000C705C">
        <w:rPr>
          <w:b/>
          <w:bCs/>
          <w:i/>
          <w:iCs/>
          <w:u w:val="single"/>
        </w:rPr>
        <w:t>1</w:t>
      </w:r>
      <w:r w:rsidR="00BD1A7C">
        <w:rPr>
          <w:b/>
          <w:bCs/>
          <w:i/>
          <w:iCs/>
          <w:u w:val="single"/>
        </w:rPr>
        <w:t>7</w:t>
      </w:r>
      <w:r w:rsidRPr="00326FA1">
        <w:rPr>
          <w:b/>
          <w:bCs/>
          <w:i/>
          <w:iCs/>
          <w:u w:val="single"/>
        </w:rPr>
        <w:t xml:space="preserve">, </w:t>
      </w:r>
      <w:r w:rsidR="00EC003B" w:rsidRPr="00326FA1">
        <w:rPr>
          <w:b/>
          <w:bCs/>
          <w:i/>
          <w:iCs/>
          <w:u w:val="single"/>
        </w:rPr>
        <w:t xml:space="preserve">lid </w:t>
      </w:r>
      <w:r w:rsidR="00BD1A7C">
        <w:rPr>
          <w:b/>
          <w:bCs/>
          <w:i/>
          <w:iCs/>
          <w:u w:val="single"/>
        </w:rPr>
        <w:t>5</w:t>
      </w:r>
      <w:r w:rsidR="00646DBF">
        <w:rPr>
          <w:b/>
          <w:bCs/>
          <w:i/>
          <w:iCs/>
          <w:u w:val="single"/>
        </w:rPr>
        <w:t>:</w:t>
      </w:r>
    </w:p>
    <w:p w14:paraId="0ED75A34" w14:textId="77777777" w:rsidR="00BD1A7C" w:rsidRPr="00BD1A7C" w:rsidRDefault="00BD1A7C" w:rsidP="00BD1A7C">
      <w:pPr>
        <w:jc w:val="both"/>
        <w:rPr>
          <w:i/>
          <w:iCs/>
        </w:rPr>
      </w:pPr>
      <w:r w:rsidRPr="00BD1A7C">
        <w:rPr>
          <w:i/>
          <w:iCs/>
        </w:rPr>
        <w:t xml:space="preserve">Rechtstreeks door een investeringsproject geschapen werkgelegenheid voldoet aan de volgende voorwaarden: </w:t>
      </w:r>
    </w:p>
    <w:p w14:paraId="46106019" w14:textId="77777777" w:rsidR="00BD1A7C" w:rsidRPr="00BD1A7C" w:rsidRDefault="00BD1A7C" w:rsidP="00BD1A7C">
      <w:pPr>
        <w:jc w:val="both"/>
        <w:rPr>
          <w:i/>
          <w:iCs/>
        </w:rPr>
      </w:pPr>
    </w:p>
    <w:p w14:paraId="1FBF5034" w14:textId="77777777" w:rsidR="00BD1A7C" w:rsidRPr="00BD1A7C" w:rsidRDefault="00BD1A7C" w:rsidP="00BD1A7C">
      <w:pPr>
        <w:jc w:val="both"/>
        <w:rPr>
          <w:i/>
          <w:iCs/>
        </w:rPr>
      </w:pPr>
      <w:r w:rsidRPr="00BD1A7C">
        <w:rPr>
          <w:i/>
          <w:iCs/>
        </w:rPr>
        <w:t xml:space="preserve">a) de werkgelegenheid komt binnen drie jaar na de voltooiing van de investering tot stand; </w:t>
      </w:r>
    </w:p>
    <w:p w14:paraId="593B6A29" w14:textId="77777777" w:rsidR="00BD1A7C" w:rsidRPr="00BD1A7C" w:rsidRDefault="00BD1A7C" w:rsidP="00BD1A7C">
      <w:pPr>
        <w:jc w:val="both"/>
        <w:rPr>
          <w:i/>
          <w:iCs/>
        </w:rPr>
      </w:pPr>
    </w:p>
    <w:p w14:paraId="49771242" w14:textId="77777777" w:rsidR="00BD1A7C" w:rsidRPr="00BD1A7C" w:rsidRDefault="00BD1A7C" w:rsidP="00BD1A7C">
      <w:pPr>
        <w:jc w:val="both"/>
        <w:rPr>
          <w:i/>
          <w:iCs/>
        </w:rPr>
      </w:pPr>
      <w:r w:rsidRPr="00BD1A7C">
        <w:rPr>
          <w:i/>
          <w:iCs/>
        </w:rPr>
        <w:t xml:space="preserve">b) er is een nettotoename van het aantal werknemers in de betrokken vestiging, in vergelijking met het gemiddelde van de voorbije twaalf maanden; </w:t>
      </w:r>
    </w:p>
    <w:p w14:paraId="556C83CE" w14:textId="77777777" w:rsidR="00BD1A7C" w:rsidRPr="00BD1A7C" w:rsidRDefault="00BD1A7C" w:rsidP="00BD1A7C">
      <w:pPr>
        <w:jc w:val="both"/>
        <w:rPr>
          <w:i/>
          <w:iCs/>
        </w:rPr>
      </w:pPr>
    </w:p>
    <w:p w14:paraId="126CD943" w14:textId="78043B86" w:rsidR="00BD1A7C" w:rsidRPr="00BD1A7C" w:rsidRDefault="00BD1A7C" w:rsidP="00BD1A7C">
      <w:pPr>
        <w:jc w:val="both"/>
        <w:rPr>
          <w:i/>
          <w:iCs/>
        </w:rPr>
      </w:pPr>
      <w:r w:rsidRPr="00BD1A7C">
        <w:rPr>
          <w:i/>
          <w:iCs/>
        </w:rPr>
        <w:t>c) deze werkgelegenheid blijft behouden gedurende ten minste drie jaar te rekenen vanaf het tijdstip dat de arbeidsplaats voor het eerst werd ingevuld.</w:t>
      </w:r>
    </w:p>
    <w:p w14:paraId="45073463" w14:textId="77777777" w:rsidR="00BD1A7C" w:rsidRDefault="00BD1A7C" w:rsidP="00BD1A7C">
      <w:pPr>
        <w:jc w:val="both"/>
        <w:rPr>
          <w:b/>
          <w:bCs/>
          <w:i/>
          <w:iCs/>
        </w:rPr>
      </w:pPr>
    </w:p>
    <w:p w14:paraId="42B73DA1" w14:textId="3A7593AB" w:rsidR="00BD1A7C" w:rsidRDefault="00BD1A7C" w:rsidP="00BD1A7C">
      <w:pPr>
        <w:jc w:val="both"/>
        <w:rPr>
          <w:b/>
          <w:bCs/>
          <w:i/>
          <w:iCs/>
        </w:rPr>
      </w:pPr>
      <w:r>
        <w:rPr>
          <w:noProof/>
          <w:lang w:eastAsia="nl-NL"/>
        </w:rPr>
        <mc:AlternateContent>
          <mc:Choice Requires="wps">
            <w:drawing>
              <wp:anchor distT="45720" distB="45720" distL="114300" distR="114300" simplePos="0" relativeHeight="251673600" behindDoc="0" locked="0" layoutInCell="1" allowOverlap="1" wp14:anchorId="4BAEEB00" wp14:editId="107A3DB6">
                <wp:simplePos x="0" y="0"/>
                <wp:positionH relativeFrom="margin">
                  <wp:posOffset>0</wp:posOffset>
                </wp:positionH>
                <wp:positionV relativeFrom="paragraph">
                  <wp:posOffset>220980</wp:posOffset>
                </wp:positionV>
                <wp:extent cx="5405119" cy="634364"/>
                <wp:effectExtent l="0" t="0" r="24765" b="2667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AC41D56" w14:textId="5997728C" w:rsidR="00BD1A7C" w:rsidRPr="002A62AB" w:rsidRDefault="00BD1A7C" w:rsidP="00BD1A7C">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17</w:t>
                            </w:r>
                            <w:r w:rsidRPr="002A62AB">
                              <w:rPr>
                                <w:b/>
                                <w:bCs/>
                              </w:rPr>
                              <w:t xml:space="preserve">, lid </w:t>
                            </w:r>
                            <w:r>
                              <w:rPr>
                                <w:b/>
                                <w:bCs/>
                              </w:rPr>
                              <w:t>2 tot en met lid 5</w:t>
                            </w:r>
                            <w:r w:rsidRPr="002A62AB">
                              <w:rPr>
                                <w:b/>
                                <w:bCs/>
                              </w:rPr>
                              <w:t>:</w:t>
                            </w:r>
                          </w:p>
                          <w:p w14:paraId="20A62989" w14:textId="77777777" w:rsidR="00BD1A7C" w:rsidRDefault="00BD1A7C" w:rsidP="00BD1A7C"/>
                          <w:p w14:paraId="21943693" w14:textId="77777777" w:rsidR="00BD1A7C" w:rsidRDefault="00BD1A7C" w:rsidP="00BD1A7C"/>
                          <w:p w14:paraId="4DFE7C05" w14:textId="77777777" w:rsidR="00BD1A7C" w:rsidRDefault="00BD1A7C" w:rsidP="00BD1A7C"/>
                          <w:p w14:paraId="36E8A4C2" w14:textId="77777777" w:rsidR="00BD1A7C" w:rsidRDefault="00BD1A7C" w:rsidP="00BD1A7C"/>
                          <w:p w14:paraId="16057142" w14:textId="77777777" w:rsidR="00BD1A7C" w:rsidRDefault="00BD1A7C" w:rsidP="00BD1A7C"/>
                          <w:p w14:paraId="69D6AF17" w14:textId="77777777" w:rsidR="00BD1A7C" w:rsidRDefault="00BD1A7C" w:rsidP="00BD1A7C"/>
                          <w:p w14:paraId="6C07F572" w14:textId="77777777" w:rsidR="00BD1A7C" w:rsidRDefault="00BD1A7C" w:rsidP="00BD1A7C"/>
                          <w:p w14:paraId="08600C6E" w14:textId="77777777" w:rsidR="00BD1A7C" w:rsidRDefault="00BD1A7C" w:rsidP="00BD1A7C"/>
                          <w:p w14:paraId="67C98EBB" w14:textId="77777777" w:rsidR="00BD1A7C" w:rsidRDefault="00BD1A7C" w:rsidP="00BD1A7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AEEB00" id="_x0000_t202" coordsize="21600,21600" o:spt="202" path="m,l,21600r21600,l21600,xe">
                <v:stroke joinstyle="miter"/>
                <v:path gradientshapeok="t" o:connecttype="rect"/>
              </v:shapetype>
              <v:shape id="Tekstvak 3" o:spid="_x0000_s1026" type="#_x0000_t202" style="position:absolute;left:0;text-align:left;margin-left:0;margin-top:17.4pt;width:425.6pt;height:49.95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">
                <v:textbox style="mso-fit-shape-to-text:t">
                  <w:txbxContent>
                    <w:p w14:paraId="0AC41D56" w14:textId="5997728C" w:rsidR="00BD1A7C" w:rsidRPr="002A62AB" w:rsidRDefault="00BD1A7C" w:rsidP="00BD1A7C">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17</w:t>
                      </w:r>
                      <w:r w:rsidRPr="002A62AB">
                        <w:rPr>
                          <w:b/>
                          <w:bCs/>
                        </w:rPr>
                        <w:t xml:space="preserve">, lid </w:t>
                      </w:r>
                      <w:r>
                        <w:rPr>
                          <w:b/>
                          <w:bCs/>
                        </w:rPr>
                        <w:t>2 tot en met lid 5</w:t>
                      </w:r>
                      <w:r w:rsidRPr="002A62AB">
                        <w:rPr>
                          <w:b/>
                          <w:bCs/>
                        </w:rPr>
                        <w:t>:</w:t>
                      </w:r>
                    </w:p>
                    <w:p w14:paraId="20A62989" w14:textId="77777777" w:rsidR="00BD1A7C" w:rsidRDefault="00BD1A7C" w:rsidP="00BD1A7C"/>
                    <w:p w14:paraId="21943693" w14:textId="77777777" w:rsidR="00BD1A7C" w:rsidRDefault="00BD1A7C" w:rsidP="00BD1A7C"/>
                    <w:p w14:paraId="4DFE7C05" w14:textId="77777777" w:rsidR="00BD1A7C" w:rsidRDefault="00BD1A7C" w:rsidP="00BD1A7C"/>
                    <w:p w14:paraId="36E8A4C2" w14:textId="77777777" w:rsidR="00BD1A7C" w:rsidRDefault="00BD1A7C" w:rsidP="00BD1A7C"/>
                    <w:p w14:paraId="16057142" w14:textId="77777777" w:rsidR="00BD1A7C" w:rsidRDefault="00BD1A7C" w:rsidP="00BD1A7C"/>
                    <w:p w14:paraId="69D6AF17" w14:textId="77777777" w:rsidR="00BD1A7C" w:rsidRDefault="00BD1A7C" w:rsidP="00BD1A7C"/>
                    <w:p w14:paraId="6C07F572" w14:textId="77777777" w:rsidR="00BD1A7C" w:rsidRDefault="00BD1A7C" w:rsidP="00BD1A7C"/>
                    <w:p w14:paraId="08600C6E" w14:textId="77777777" w:rsidR="00BD1A7C" w:rsidRDefault="00BD1A7C" w:rsidP="00BD1A7C"/>
                    <w:p w14:paraId="67C98EBB" w14:textId="77777777" w:rsidR="00BD1A7C" w:rsidRDefault="00BD1A7C" w:rsidP="00BD1A7C">
                      <w:r>
                        <w:t xml:space="preserve">  </w:t>
                      </w:r>
                    </w:p>
                  </w:txbxContent>
                </v:textbox>
                <w10:wrap type="topAndBottom" anchorx="margin"/>
              </v:shape>
            </w:pict>
          </mc:Fallback>
        </mc:AlternateContent>
      </w:r>
    </w:p>
    <w:p w14:paraId="1DEB4807" w14:textId="1E4344A1" w:rsidR="00BD1A7C" w:rsidRDefault="00BD1A7C" w:rsidP="00BD1A7C">
      <w:pPr>
        <w:jc w:val="both"/>
        <w:rPr>
          <w:b/>
          <w:bCs/>
          <w:i/>
          <w:iCs/>
          <w:u w:val="single"/>
        </w:rPr>
      </w:pPr>
      <w:r>
        <w:rPr>
          <w:b/>
          <w:bCs/>
          <w:i/>
          <w:iCs/>
        </w:rPr>
        <w:br/>
      </w:r>
      <w:r w:rsidRPr="00326FA1">
        <w:rPr>
          <w:b/>
          <w:bCs/>
          <w:i/>
          <w:iCs/>
          <w:u w:val="single"/>
        </w:rPr>
        <w:t xml:space="preserve">Art. </w:t>
      </w:r>
      <w:r>
        <w:rPr>
          <w:b/>
          <w:bCs/>
          <w:i/>
          <w:iCs/>
          <w:u w:val="single"/>
        </w:rPr>
        <w:t>17</w:t>
      </w:r>
      <w:r w:rsidRPr="00326FA1">
        <w:rPr>
          <w:b/>
          <w:bCs/>
          <w:i/>
          <w:iCs/>
          <w:u w:val="single"/>
        </w:rPr>
        <w:t xml:space="preserve">, lid </w:t>
      </w:r>
      <w:r>
        <w:rPr>
          <w:b/>
          <w:bCs/>
          <w:i/>
          <w:iCs/>
          <w:u w:val="single"/>
        </w:rPr>
        <w:t>6:</w:t>
      </w:r>
    </w:p>
    <w:p w14:paraId="515319A5" w14:textId="77777777" w:rsidR="00BD1A7C" w:rsidRDefault="00BD1A7C" w:rsidP="00BD1A7C">
      <w:pPr>
        <w:jc w:val="both"/>
        <w:rPr>
          <w:i/>
          <w:iCs/>
        </w:rPr>
      </w:pPr>
      <w:r w:rsidRPr="00BD1A7C">
        <w:rPr>
          <w:i/>
          <w:iCs/>
        </w:rPr>
        <w:t xml:space="preserve">De steunintensiteit bedraagt ten hoogste: </w:t>
      </w:r>
    </w:p>
    <w:p w14:paraId="65BBB050" w14:textId="77777777" w:rsidR="00BD1A7C" w:rsidRDefault="00BD1A7C" w:rsidP="00BD1A7C">
      <w:pPr>
        <w:jc w:val="both"/>
        <w:rPr>
          <w:i/>
          <w:iCs/>
        </w:rPr>
      </w:pPr>
    </w:p>
    <w:p w14:paraId="509EBC58" w14:textId="77777777" w:rsidR="00BD1A7C" w:rsidRDefault="00BD1A7C" w:rsidP="00BD1A7C">
      <w:pPr>
        <w:jc w:val="both"/>
        <w:rPr>
          <w:i/>
          <w:iCs/>
        </w:rPr>
      </w:pPr>
      <w:r w:rsidRPr="00BD1A7C">
        <w:rPr>
          <w:i/>
          <w:iCs/>
        </w:rPr>
        <w:t xml:space="preserve">a) 20% van de in aanmerking komende kosten in het geval van kleine ondernemingen; </w:t>
      </w:r>
    </w:p>
    <w:p w14:paraId="117062DE" w14:textId="77777777" w:rsidR="00BD1A7C" w:rsidRDefault="00BD1A7C" w:rsidP="00BD1A7C">
      <w:pPr>
        <w:jc w:val="both"/>
        <w:rPr>
          <w:i/>
          <w:iCs/>
        </w:rPr>
      </w:pPr>
    </w:p>
    <w:p w14:paraId="7C294703" w14:textId="661A59C8" w:rsidR="00BD1A7C" w:rsidRDefault="00BD1A7C" w:rsidP="00BD1A7C">
      <w:pPr>
        <w:jc w:val="both"/>
        <w:rPr>
          <w:i/>
          <w:iCs/>
        </w:rPr>
      </w:pPr>
      <w:r w:rsidRPr="00BD1A7C">
        <w:rPr>
          <w:i/>
          <w:iCs/>
        </w:rPr>
        <w:t>b) 10% van de in aanmerking komende kosten in het geval van middelgrote ondernemingen.</w:t>
      </w:r>
    </w:p>
    <w:p w14:paraId="7C7DEE40" w14:textId="65B6EF29" w:rsidR="00E44E4B" w:rsidRDefault="00E44E4B" w:rsidP="00BD1A7C">
      <w:pPr>
        <w:jc w:val="both"/>
        <w:rPr>
          <w:i/>
          <w:iCs/>
        </w:rPr>
      </w:pPr>
      <w:r>
        <w:rPr>
          <w:noProof/>
          <w:lang w:eastAsia="nl-NL"/>
        </w:rPr>
        <mc:AlternateContent>
          <mc:Choice Requires="wps">
            <w:drawing>
              <wp:anchor distT="45720" distB="45720" distL="114300" distR="114300" simplePos="0" relativeHeight="251675648" behindDoc="0" locked="0" layoutInCell="1" allowOverlap="1" wp14:anchorId="3601E418" wp14:editId="01982B4A">
                <wp:simplePos x="0" y="0"/>
                <wp:positionH relativeFrom="margin">
                  <wp:posOffset>0</wp:posOffset>
                </wp:positionH>
                <wp:positionV relativeFrom="paragraph">
                  <wp:posOffset>220980</wp:posOffset>
                </wp:positionV>
                <wp:extent cx="5405119" cy="634364"/>
                <wp:effectExtent l="0" t="0" r="24765" b="139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749A2AD7" w14:textId="3CFD2AEB" w:rsidR="00E44E4B" w:rsidRPr="002A62AB" w:rsidRDefault="00E44E4B" w:rsidP="00E44E4B">
                            <w:pPr>
                              <w:jc w:val="both"/>
                              <w:rPr>
                                <w:b/>
                                <w:bCs/>
                              </w:rPr>
                            </w:pPr>
                            <w:r w:rsidRPr="002A62AB">
                              <w:rPr>
                                <w:b/>
                                <w:bCs/>
                              </w:rPr>
                              <w:t xml:space="preserve">Geef hier aan </w:t>
                            </w:r>
                            <w:r>
                              <w:rPr>
                                <w:b/>
                                <w:bCs/>
                              </w:rPr>
                              <w:t xml:space="preserve">de hand van artikel 17, lid 6, aan welk subsidiepercentage per projectpartner wordt gehanteerd en </w:t>
                            </w:r>
                            <w:r w:rsidRPr="002A62AB">
                              <w:rPr>
                                <w:b/>
                                <w:bCs/>
                              </w:rPr>
                              <w:t>waarom:</w:t>
                            </w:r>
                          </w:p>
                          <w:p w14:paraId="596A6F11" w14:textId="77777777" w:rsidR="00E44E4B" w:rsidRDefault="00E44E4B" w:rsidP="00E44E4B"/>
                          <w:p w14:paraId="6333CDD8" w14:textId="77777777" w:rsidR="00E44E4B" w:rsidRDefault="00E44E4B" w:rsidP="00E44E4B"/>
                          <w:p w14:paraId="556CBC2C" w14:textId="77777777" w:rsidR="00E44E4B" w:rsidRDefault="00E44E4B" w:rsidP="00E44E4B"/>
                          <w:p w14:paraId="477BC29E" w14:textId="77777777" w:rsidR="00E44E4B" w:rsidRDefault="00E44E4B" w:rsidP="00E44E4B"/>
                          <w:p w14:paraId="71E6110B" w14:textId="77777777" w:rsidR="00E44E4B" w:rsidRDefault="00E44E4B" w:rsidP="00E44E4B"/>
                          <w:p w14:paraId="2228D78C" w14:textId="77777777" w:rsidR="00E44E4B" w:rsidRDefault="00E44E4B" w:rsidP="00E44E4B"/>
                          <w:p w14:paraId="13E1D5C7" w14:textId="77777777" w:rsidR="00E44E4B" w:rsidRDefault="00E44E4B" w:rsidP="00E44E4B"/>
                          <w:p w14:paraId="59D2E472" w14:textId="77777777" w:rsidR="00E44E4B" w:rsidRDefault="00E44E4B" w:rsidP="00E44E4B"/>
                          <w:p w14:paraId="0A92C940" w14:textId="77777777" w:rsidR="00E44E4B" w:rsidRDefault="00E44E4B" w:rsidP="00E44E4B">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1E418" id="Tekstvak 4" o:spid="_x0000_s1027" type="#_x0000_t202" style="position:absolute;left:0;text-align:left;margin-left:0;margin-top:17.4pt;width:425.6pt;height:49.95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">
                <v:textbox style="mso-fit-shape-to-text:t">
                  <w:txbxContent>
                    <w:p w14:paraId="749A2AD7" w14:textId="3CFD2AEB" w:rsidR="00E44E4B" w:rsidRPr="002A62AB" w:rsidRDefault="00E44E4B" w:rsidP="00E44E4B">
                      <w:pPr>
                        <w:jc w:val="both"/>
                        <w:rPr>
                          <w:b/>
                          <w:bCs/>
                        </w:rPr>
                      </w:pPr>
                      <w:r w:rsidRPr="002A62AB">
                        <w:rPr>
                          <w:b/>
                          <w:bCs/>
                        </w:rPr>
                        <w:t xml:space="preserve">Geef hier aan </w:t>
                      </w:r>
                      <w:r>
                        <w:rPr>
                          <w:b/>
                          <w:bCs/>
                        </w:rPr>
                        <w:t xml:space="preserve">de hand van artikel 17, lid 6, aan welk subsidiepercentage per projectpartner wordt gehanteerd en </w:t>
                      </w:r>
                      <w:r w:rsidRPr="002A62AB">
                        <w:rPr>
                          <w:b/>
                          <w:bCs/>
                        </w:rPr>
                        <w:t>waarom:</w:t>
                      </w:r>
                    </w:p>
                    <w:p w14:paraId="596A6F11" w14:textId="77777777" w:rsidR="00E44E4B" w:rsidRDefault="00E44E4B" w:rsidP="00E44E4B"/>
                    <w:p w14:paraId="6333CDD8" w14:textId="77777777" w:rsidR="00E44E4B" w:rsidRDefault="00E44E4B" w:rsidP="00E44E4B"/>
                    <w:p w14:paraId="556CBC2C" w14:textId="77777777" w:rsidR="00E44E4B" w:rsidRDefault="00E44E4B" w:rsidP="00E44E4B"/>
                    <w:p w14:paraId="477BC29E" w14:textId="77777777" w:rsidR="00E44E4B" w:rsidRDefault="00E44E4B" w:rsidP="00E44E4B"/>
                    <w:p w14:paraId="71E6110B" w14:textId="77777777" w:rsidR="00E44E4B" w:rsidRDefault="00E44E4B" w:rsidP="00E44E4B"/>
                    <w:p w14:paraId="2228D78C" w14:textId="77777777" w:rsidR="00E44E4B" w:rsidRDefault="00E44E4B" w:rsidP="00E44E4B"/>
                    <w:p w14:paraId="13E1D5C7" w14:textId="77777777" w:rsidR="00E44E4B" w:rsidRDefault="00E44E4B" w:rsidP="00E44E4B"/>
                    <w:p w14:paraId="59D2E472" w14:textId="77777777" w:rsidR="00E44E4B" w:rsidRDefault="00E44E4B" w:rsidP="00E44E4B"/>
                    <w:p w14:paraId="0A92C940" w14:textId="77777777" w:rsidR="00E44E4B" w:rsidRDefault="00E44E4B" w:rsidP="00E44E4B">
                      <w:r>
                        <w:t xml:space="preserve">  </w:t>
                      </w:r>
                    </w:p>
                  </w:txbxContent>
                </v:textbox>
                <w10:wrap type="topAndBottom" anchorx="margin"/>
              </v:shape>
            </w:pict>
          </mc:Fallback>
        </mc:AlternateContent>
      </w:r>
    </w:p>
    <w:p w14:paraId="1655CCB0" w14:textId="77777777" w:rsidR="00E44E4B" w:rsidRDefault="00E44E4B" w:rsidP="00BD1A7C">
      <w:pPr>
        <w:jc w:val="both"/>
        <w:rPr>
          <w:i/>
          <w:iCs/>
        </w:rPr>
      </w:pPr>
    </w:p>
    <w:p w14:paraId="08F5FC31" w14:textId="6636F667" w:rsidR="00BD1A7C" w:rsidRDefault="00BD1A7C" w:rsidP="00BD1A7C">
      <w:pPr>
        <w:jc w:val="both"/>
      </w:pPr>
    </w:p>
    <w:p w14:paraId="2793236B" w14:textId="6597C0A8" w:rsidR="000C705C" w:rsidRPr="000C705C" w:rsidRDefault="000C705C" w:rsidP="000C705C">
      <w:pPr>
        <w:jc w:val="both"/>
        <w:rPr>
          <w:i/>
          <w:iCs/>
          <w:noProof/>
        </w:rPr>
      </w:pPr>
    </w:p>
    <w:p w14:paraId="447B96F7" w14:textId="0849FE62" w:rsidR="00D1166C" w:rsidRDefault="00D1166C" w:rsidP="00E7133A">
      <w:pPr>
        <w:rPr>
          <w:b/>
          <w:bCs/>
        </w:rPr>
      </w:pPr>
    </w:p>
    <w:sectPr w:rsidR="00D1166C" w:rsidSect="00C76D71">
      <w:headerReference w:type="even" r:id="rId9"/>
      <w:headerReference w:type="default" r:id="rId10"/>
      <w:footerReference w:type="even" r:id="rId11"/>
      <w:footerReference w:type="default" r:id="rId12"/>
      <w:headerReference w:type="first" r:id="rId13"/>
      <w:footerReference w:type="first" r:id="rId14"/>
      <w:pgSz w:w="11906" w:h="16838" w:code="9"/>
      <w:pgMar w:top="1276"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E3EF" w14:textId="77777777" w:rsidR="0088721A" w:rsidRDefault="008872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F761" w14:textId="44E73571" w:rsidR="00B006AD" w:rsidRDefault="00B006AD" w:rsidP="00B006AD">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7F97F251" wp14:editId="013F2924">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2" name="Afbeelding 2"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5B5693">
      <w:rPr>
        <w:rFonts w:asciiTheme="minorHAnsi" w:hAnsiTheme="minorHAnsi" w:cstheme="minorHAnsi"/>
        <w:b/>
        <w:bCs/>
        <w:color w:val="004A99"/>
      </w:rPr>
      <w:t>JTF</w:t>
    </w:r>
    <w:r>
      <w:rPr>
        <w:rFonts w:asciiTheme="minorHAnsi" w:hAnsiTheme="minorHAnsi" w:cstheme="minorHAnsi"/>
        <w:b/>
        <w:bCs/>
        <w:color w:val="004A99"/>
      </w:rPr>
      <w:t xml:space="preserve"> 2021-2027</w:t>
    </w:r>
  </w:p>
  <w:p w14:paraId="35912516" w14:textId="77777777" w:rsidR="0088721A" w:rsidRPr="00B006AD" w:rsidRDefault="0088721A" w:rsidP="00B006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6444" w14:textId="77777777" w:rsidR="0088721A" w:rsidRDefault="008872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5B5693"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4D508F04" w14:textId="283081FE" w:rsidR="00337B85" w:rsidRDefault="00337B85">
      <w:pPr>
        <w:pStyle w:val="Voetnoottekst"/>
      </w:pPr>
      <w:r>
        <w:rPr>
          <w:rStyle w:val="Voetnootmarkering"/>
        </w:rPr>
        <w:footnoteRef/>
      </w:r>
      <w:r>
        <w:t xml:space="preserve"> </w:t>
      </w:r>
      <w:bookmarkStart w:id="2" w:name="_Hlk105151433"/>
      <w:bookmarkStart w:id="3" w:name="_Hlk105150313"/>
      <w:r>
        <w:t>D</w:t>
      </w:r>
      <w:r w:rsidRPr="000A03AF">
        <w:t xml:space="preserve">e AGVV </w:t>
      </w:r>
      <w:r>
        <w:t xml:space="preserve">zal in 2022 </w:t>
      </w:r>
      <w:r w:rsidRPr="000A03AF">
        <w:t>worden gewijzigd</w:t>
      </w:r>
      <w:r>
        <w:t xml:space="preserve">. Het kan daardoor zijn </w:t>
      </w:r>
      <w:r w:rsidRPr="000A03AF">
        <w:t>dat deze checklist wijzigt.</w:t>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73AD" w14:textId="77777777" w:rsidR="0088721A" w:rsidRDefault="008872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9532" w14:textId="77777777" w:rsidR="0088721A" w:rsidRDefault="0088721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C4D3" w14:textId="77777777" w:rsidR="0088721A" w:rsidRDefault="0088721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03112544">
    <w:abstractNumId w:val="7"/>
  </w:num>
  <w:num w:numId="2" w16cid:durableId="222567344">
    <w:abstractNumId w:val="3"/>
  </w:num>
  <w:num w:numId="3" w16cid:durableId="631399861">
    <w:abstractNumId w:val="11"/>
  </w:num>
  <w:num w:numId="4" w16cid:durableId="1709333966">
    <w:abstractNumId w:val="6"/>
  </w:num>
  <w:num w:numId="5" w16cid:durableId="1446194926">
    <w:abstractNumId w:val="0"/>
  </w:num>
  <w:num w:numId="6" w16cid:durableId="1008286425">
    <w:abstractNumId w:val="10"/>
  </w:num>
  <w:num w:numId="7" w16cid:durableId="1675106131">
    <w:abstractNumId w:val="1"/>
  </w:num>
  <w:num w:numId="8" w16cid:durableId="1719236937">
    <w:abstractNumId w:val="8"/>
  </w:num>
  <w:num w:numId="9" w16cid:durableId="996811759">
    <w:abstractNumId w:val="5"/>
  </w:num>
  <w:num w:numId="10" w16cid:durableId="1774089024">
    <w:abstractNumId w:val="6"/>
  </w:num>
  <w:num w:numId="11" w16cid:durableId="1709337194">
    <w:abstractNumId w:val="6"/>
  </w:num>
  <w:num w:numId="12" w16cid:durableId="345986759">
    <w:abstractNumId w:val="2"/>
  </w:num>
  <w:num w:numId="13" w16cid:durableId="1281110279">
    <w:abstractNumId w:val="4"/>
  </w:num>
  <w:num w:numId="14" w16cid:durableId="18308259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59394"/>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21666"/>
    <w:rsid w:val="00072673"/>
    <w:rsid w:val="000C705C"/>
    <w:rsid w:val="000D1C37"/>
    <w:rsid w:val="000D3E45"/>
    <w:rsid w:val="000F3550"/>
    <w:rsid w:val="00102CAF"/>
    <w:rsid w:val="00102D36"/>
    <w:rsid w:val="00110A65"/>
    <w:rsid w:val="00114B25"/>
    <w:rsid w:val="001248A8"/>
    <w:rsid w:val="00147844"/>
    <w:rsid w:val="00157BCE"/>
    <w:rsid w:val="00185309"/>
    <w:rsid w:val="001955D0"/>
    <w:rsid w:val="00197612"/>
    <w:rsid w:val="001B5673"/>
    <w:rsid w:val="001B5BF7"/>
    <w:rsid w:val="001C517A"/>
    <w:rsid w:val="001D03DE"/>
    <w:rsid w:val="00201945"/>
    <w:rsid w:val="00211907"/>
    <w:rsid w:val="00267E3F"/>
    <w:rsid w:val="0028560D"/>
    <w:rsid w:val="002A1800"/>
    <w:rsid w:val="002A40B7"/>
    <w:rsid w:val="002A62AB"/>
    <w:rsid w:val="002C0F9A"/>
    <w:rsid w:val="002D53F5"/>
    <w:rsid w:val="002D7EE3"/>
    <w:rsid w:val="002F2904"/>
    <w:rsid w:val="00304109"/>
    <w:rsid w:val="00326FA1"/>
    <w:rsid w:val="00337B85"/>
    <w:rsid w:val="003408E8"/>
    <w:rsid w:val="00343FA7"/>
    <w:rsid w:val="0034652F"/>
    <w:rsid w:val="00354AD1"/>
    <w:rsid w:val="003738AA"/>
    <w:rsid w:val="003812AF"/>
    <w:rsid w:val="003849F9"/>
    <w:rsid w:val="003950D3"/>
    <w:rsid w:val="003D6486"/>
    <w:rsid w:val="004138C8"/>
    <w:rsid w:val="00414E29"/>
    <w:rsid w:val="0042793D"/>
    <w:rsid w:val="00447DEC"/>
    <w:rsid w:val="00452EBF"/>
    <w:rsid w:val="00454CF1"/>
    <w:rsid w:val="004622C9"/>
    <w:rsid w:val="00465D20"/>
    <w:rsid w:val="0047090C"/>
    <w:rsid w:val="00495FA1"/>
    <w:rsid w:val="004C76F8"/>
    <w:rsid w:val="004D0AB4"/>
    <w:rsid w:val="004D55F1"/>
    <w:rsid w:val="004D7111"/>
    <w:rsid w:val="00524790"/>
    <w:rsid w:val="005471E0"/>
    <w:rsid w:val="00556EF5"/>
    <w:rsid w:val="00571B15"/>
    <w:rsid w:val="00571B71"/>
    <w:rsid w:val="005831C5"/>
    <w:rsid w:val="005A0EE6"/>
    <w:rsid w:val="005A73BD"/>
    <w:rsid w:val="005B5693"/>
    <w:rsid w:val="005C1E2B"/>
    <w:rsid w:val="005D4A60"/>
    <w:rsid w:val="005E6B57"/>
    <w:rsid w:val="005F34FE"/>
    <w:rsid w:val="005F60F6"/>
    <w:rsid w:val="00615E39"/>
    <w:rsid w:val="00621815"/>
    <w:rsid w:val="00622124"/>
    <w:rsid w:val="00627D64"/>
    <w:rsid w:val="00630F0B"/>
    <w:rsid w:val="00646DBF"/>
    <w:rsid w:val="00650DB0"/>
    <w:rsid w:val="006571CE"/>
    <w:rsid w:val="00685E27"/>
    <w:rsid w:val="006A53D1"/>
    <w:rsid w:val="006D3559"/>
    <w:rsid w:val="006F05CC"/>
    <w:rsid w:val="006F631B"/>
    <w:rsid w:val="006F6F4B"/>
    <w:rsid w:val="007045B8"/>
    <w:rsid w:val="0075030E"/>
    <w:rsid w:val="007840F7"/>
    <w:rsid w:val="007F3ECE"/>
    <w:rsid w:val="007F5D2B"/>
    <w:rsid w:val="00822991"/>
    <w:rsid w:val="00834F47"/>
    <w:rsid w:val="008418FE"/>
    <w:rsid w:val="00877CD3"/>
    <w:rsid w:val="00881667"/>
    <w:rsid w:val="008858B5"/>
    <w:rsid w:val="0088721A"/>
    <w:rsid w:val="00893CDE"/>
    <w:rsid w:val="008C4B99"/>
    <w:rsid w:val="00912F32"/>
    <w:rsid w:val="009226F1"/>
    <w:rsid w:val="00925438"/>
    <w:rsid w:val="0093269F"/>
    <w:rsid w:val="009436D9"/>
    <w:rsid w:val="0098669E"/>
    <w:rsid w:val="00995CA7"/>
    <w:rsid w:val="00996F85"/>
    <w:rsid w:val="009D5089"/>
    <w:rsid w:val="00A01C22"/>
    <w:rsid w:val="00A30351"/>
    <w:rsid w:val="00A76A29"/>
    <w:rsid w:val="00AC7021"/>
    <w:rsid w:val="00AF6D7F"/>
    <w:rsid w:val="00B006AD"/>
    <w:rsid w:val="00B017C8"/>
    <w:rsid w:val="00B216D8"/>
    <w:rsid w:val="00B51362"/>
    <w:rsid w:val="00B769B1"/>
    <w:rsid w:val="00B83C70"/>
    <w:rsid w:val="00BA3684"/>
    <w:rsid w:val="00BB0726"/>
    <w:rsid w:val="00BB6462"/>
    <w:rsid w:val="00BD1A7C"/>
    <w:rsid w:val="00BE1B48"/>
    <w:rsid w:val="00BF2E34"/>
    <w:rsid w:val="00C344BC"/>
    <w:rsid w:val="00C376F7"/>
    <w:rsid w:val="00C47F95"/>
    <w:rsid w:val="00C62B9B"/>
    <w:rsid w:val="00C72E38"/>
    <w:rsid w:val="00C76D71"/>
    <w:rsid w:val="00C80912"/>
    <w:rsid w:val="00C93E9E"/>
    <w:rsid w:val="00CB4578"/>
    <w:rsid w:val="00CD1E0D"/>
    <w:rsid w:val="00D1166C"/>
    <w:rsid w:val="00D1255B"/>
    <w:rsid w:val="00D50155"/>
    <w:rsid w:val="00D548EE"/>
    <w:rsid w:val="00D7141E"/>
    <w:rsid w:val="00D842D8"/>
    <w:rsid w:val="00D95557"/>
    <w:rsid w:val="00DA27F6"/>
    <w:rsid w:val="00DA6C3D"/>
    <w:rsid w:val="00DB5269"/>
    <w:rsid w:val="00DD409F"/>
    <w:rsid w:val="00E005DA"/>
    <w:rsid w:val="00E01953"/>
    <w:rsid w:val="00E01DCF"/>
    <w:rsid w:val="00E229CF"/>
    <w:rsid w:val="00E43808"/>
    <w:rsid w:val="00E44E4B"/>
    <w:rsid w:val="00E47110"/>
    <w:rsid w:val="00E51BDE"/>
    <w:rsid w:val="00E7133A"/>
    <w:rsid w:val="00E7563F"/>
    <w:rsid w:val="00E817DA"/>
    <w:rsid w:val="00EC003B"/>
    <w:rsid w:val="00EC2A89"/>
    <w:rsid w:val="00ED1D74"/>
    <w:rsid w:val="00EE515E"/>
    <w:rsid w:val="00EF4900"/>
    <w:rsid w:val="00F13C3C"/>
    <w:rsid w:val="00F23A27"/>
    <w:rsid w:val="00F5399E"/>
    <w:rsid w:val="00F55147"/>
    <w:rsid w:val="00F600BE"/>
    <w:rsid w:val="00F635D2"/>
    <w:rsid w:val="00F82C28"/>
    <w:rsid w:val="00F9314C"/>
    <w:rsid w:val="00F953EF"/>
    <w:rsid w:val="00FA3B14"/>
    <w:rsid w:val="00FA4F00"/>
    <w:rsid w:val="00FB0384"/>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877CD3"/>
    <w:rPr>
      <w:sz w:val="16"/>
      <w:szCs w:val="16"/>
    </w:rPr>
  </w:style>
  <w:style w:type="paragraph" w:styleId="Tekstopmerking">
    <w:name w:val="annotation text"/>
    <w:basedOn w:val="Standaard"/>
    <w:link w:val="TekstopmerkingChar"/>
    <w:uiPriority w:val="99"/>
    <w:unhideWhenUsed/>
    <w:rsid w:val="00877CD3"/>
    <w:pPr>
      <w:spacing w:line="240" w:lineRule="auto"/>
    </w:pPr>
    <w:rPr>
      <w:szCs w:val="20"/>
    </w:rPr>
  </w:style>
  <w:style w:type="character" w:customStyle="1" w:styleId="TekstopmerkingChar">
    <w:name w:val="Tekst opmerking Char"/>
    <w:basedOn w:val="Standaardalinea-lettertype"/>
    <w:link w:val="Tekstopmerking"/>
    <w:uiPriority w:val="99"/>
    <w:rsid w:val="00877CD3"/>
    <w:rPr>
      <w:szCs w:val="20"/>
    </w:rPr>
  </w:style>
  <w:style w:type="paragraph" w:styleId="Onderwerpvanopmerking">
    <w:name w:val="annotation subject"/>
    <w:basedOn w:val="Tekstopmerking"/>
    <w:next w:val="Tekstopmerking"/>
    <w:link w:val="OnderwerpvanopmerkingChar"/>
    <w:uiPriority w:val="99"/>
    <w:semiHidden/>
    <w:unhideWhenUsed/>
    <w:rsid w:val="00877CD3"/>
    <w:rPr>
      <w:b/>
      <w:bCs/>
    </w:rPr>
  </w:style>
  <w:style w:type="character" w:customStyle="1" w:styleId="OnderwerpvanopmerkingChar">
    <w:name w:val="Onderwerp van opmerking Char"/>
    <w:basedOn w:val="TekstopmerkingChar"/>
    <w:link w:val="Onderwerpvanopmerking"/>
    <w:uiPriority w:val="99"/>
    <w:semiHidden/>
    <w:rsid w:val="00877CD3"/>
    <w:rPr>
      <w:b/>
      <w:bCs/>
      <w:szCs w:val="20"/>
    </w:rPr>
  </w:style>
  <w:style w:type="paragraph" w:styleId="Revisie">
    <w:name w:val="Revision"/>
    <w:hidden/>
    <w:uiPriority w:val="99"/>
    <w:semiHidden/>
    <w:rsid w:val="0047090C"/>
    <w:pPr>
      <w:spacing w:line="240" w:lineRule="auto"/>
      <w:ind w:left="0" w:firstLine="0"/>
    </w:pPr>
  </w:style>
  <w:style w:type="character" w:styleId="Hyperlink">
    <w:name w:val="Hyperlink"/>
    <w:basedOn w:val="Standaardalinea-lettertype"/>
    <w:uiPriority w:val="99"/>
    <w:unhideWhenUsed/>
    <w:rsid w:val="00C47F95"/>
    <w:rPr>
      <w:color w:val="0000FF"/>
      <w:u w:val="single"/>
    </w:rPr>
  </w:style>
  <w:style w:type="character" w:customStyle="1" w:styleId="Onopgelostemelding1">
    <w:name w:val="Onopgeloste melding1"/>
    <w:basedOn w:val="Standaardalinea-lettertype"/>
    <w:uiPriority w:val="99"/>
    <w:semiHidden/>
    <w:unhideWhenUsed/>
    <w:rsid w:val="00622124"/>
    <w:rPr>
      <w:color w:val="605E5C"/>
      <w:shd w:val="clear" w:color="auto" w:fill="E1DFDD"/>
    </w:rPr>
  </w:style>
  <w:style w:type="character" w:styleId="GevolgdeHyperlink">
    <w:name w:val="FollowedHyperlink"/>
    <w:basedOn w:val="Standaardalinea-lettertype"/>
    <w:uiPriority w:val="99"/>
    <w:semiHidden/>
    <w:unhideWhenUsed/>
    <w:rsid w:val="00622124"/>
    <w:rPr>
      <w:color w:val="954F72" w:themeColor="followedHyperlink"/>
      <w:u w:val="single"/>
    </w:rPr>
  </w:style>
  <w:style w:type="paragraph" w:styleId="Titel">
    <w:name w:val="Title"/>
    <w:basedOn w:val="Standaard"/>
    <w:next w:val="Standaard"/>
    <w:link w:val="TitelChar"/>
    <w:uiPriority w:val="10"/>
    <w:rsid w:val="00C76D7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D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C76D71"/>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C76D71"/>
    <w:rPr>
      <w:rFonts w:asciiTheme="minorHAnsi" w:eastAsiaTheme="minorEastAsia" w:hAnsiTheme="minorHAnsi"/>
      <w:color w:val="5A5A5A" w:themeColor="text1" w:themeTint="A5"/>
      <w:spacing w:val="15"/>
      <w:sz w:val="22"/>
    </w:rPr>
  </w:style>
  <w:style w:type="character" w:styleId="Subtielebenadrukking">
    <w:name w:val="Subtle Emphasis"/>
    <w:basedOn w:val="Standaardalinea-lettertype"/>
    <w:uiPriority w:val="19"/>
    <w:rsid w:val="00C76D71"/>
    <w:rPr>
      <w:i/>
      <w:iCs/>
      <w:color w:val="404040" w:themeColor="text1" w:themeTint="BF"/>
    </w:rPr>
  </w:style>
  <w:style w:type="character" w:styleId="Nadruk">
    <w:name w:val="Emphasis"/>
    <w:basedOn w:val="Standaardalinea-lettertype"/>
    <w:uiPriority w:val="20"/>
    <w:rsid w:val="00C76D71"/>
    <w:rPr>
      <w:i/>
      <w:iCs/>
    </w:rPr>
  </w:style>
  <w:style w:type="character" w:styleId="Intensievebenadrukking">
    <w:name w:val="Intense Emphasis"/>
    <w:basedOn w:val="Standaardalinea-lettertype"/>
    <w:uiPriority w:val="21"/>
    <w:rsid w:val="00C76D71"/>
    <w:rPr>
      <w:i/>
      <w:iCs/>
      <w:color w:val="4472C4" w:themeColor="accent1"/>
    </w:rPr>
  </w:style>
  <w:style w:type="character" w:styleId="Zwaar">
    <w:name w:val="Strong"/>
    <w:basedOn w:val="Standaardalinea-lettertype"/>
    <w:uiPriority w:val="22"/>
    <w:rsid w:val="00C76D71"/>
    <w:rPr>
      <w:b/>
      <w:bCs/>
    </w:rPr>
  </w:style>
  <w:style w:type="paragraph" w:styleId="Citaat">
    <w:name w:val="Quote"/>
    <w:basedOn w:val="Standaard"/>
    <w:next w:val="Standaard"/>
    <w:link w:val="CitaatChar"/>
    <w:uiPriority w:val="29"/>
    <w:rsid w:val="00C76D7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76D71"/>
    <w:rPr>
      <w:i/>
      <w:iCs/>
      <w:color w:val="404040" w:themeColor="text1" w:themeTint="BF"/>
    </w:rPr>
  </w:style>
  <w:style w:type="paragraph" w:styleId="Duidelijkcitaat">
    <w:name w:val="Intense Quote"/>
    <w:basedOn w:val="Standaard"/>
    <w:next w:val="Standaard"/>
    <w:link w:val="DuidelijkcitaatChar"/>
    <w:uiPriority w:val="30"/>
    <w:rsid w:val="00C76D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C76D71"/>
    <w:rPr>
      <w:i/>
      <w:iCs/>
      <w:color w:val="4472C4" w:themeColor="accent1"/>
    </w:rPr>
  </w:style>
  <w:style w:type="character" w:styleId="Titelvanboek">
    <w:name w:val="Book Title"/>
    <w:basedOn w:val="Standaardalinea-lettertype"/>
    <w:uiPriority w:val="33"/>
    <w:rsid w:val="00C76D71"/>
    <w:rPr>
      <w:b/>
      <w:bCs/>
      <w:i/>
      <w:iCs/>
      <w:spacing w:val="5"/>
    </w:rPr>
  </w:style>
  <w:style w:type="paragraph" w:styleId="Koptekst">
    <w:name w:val="header"/>
    <w:basedOn w:val="Standaard"/>
    <w:link w:val="KoptekstChar"/>
    <w:uiPriority w:val="99"/>
    <w:unhideWhenUsed/>
    <w:rsid w:val="008872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87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20556">
      <w:bodyDiv w:val="1"/>
      <w:marLeft w:val="0"/>
      <w:marRight w:val="0"/>
      <w:marTop w:val="0"/>
      <w:marBottom w:val="0"/>
      <w:divBdr>
        <w:top w:val="none" w:sz="0" w:space="0" w:color="auto"/>
        <w:left w:val="none" w:sz="0" w:space="0" w:color="auto"/>
        <w:bottom w:val="none" w:sz="0" w:space="0" w:color="auto"/>
        <w:right w:val="none" w:sz="0" w:space="0" w:color="auto"/>
      </w:divBdr>
    </w:div>
    <w:div w:id="1622227268">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65587-E925-40BF-9380-7E23397C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3221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7</cp:revision>
  <cp:lastPrinted>2019-11-18T13:40:00Z</cp:lastPrinted>
  <dcterms:created xsi:type="dcterms:W3CDTF">2022-04-20T14:09:00Z</dcterms:created>
  <dcterms:modified xsi:type="dcterms:W3CDTF">2022-11-25T10:06:00Z</dcterms:modified>
</cp:coreProperties>
</file>