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A86C" w14:textId="6AC8F664" w:rsidR="000C705C" w:rsidRDefault="00C76D71" w:rsidP="00102CAF">
      <w:pPr>
        <w:rPr>
          <w:b/>
          <w:bCs/>
          <w:sz w:val="24"/>
          <w:szCs w:val="24"/>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662FC1">
        <w:rPr>
          <w:b/>
          <w:bCs/>
          <w:sz w:val="24"/>
          <w:szCs w:val="24"/>
        </w:rPr>
        <w:t>22</w:t>
      </w:r>
      <w:r w:rsidR="00326FA1">
        <w:rPr>
          <w:b/>
          <w:bCs/>
          <w:sz w:val="24"/>
          <w:szCs w:val="24"/>
        </w:rPr>
        <w:t>:</w:t>
      </w:r>
      <w:r>
        <w:rPr>
          <w:b/>
          <w:bCs/>
          <w:sz w:val="24"/>
          <w:szCs w:val="24"/>
        </w:rPr>
        <w:t xml:space="preserve"> </w:t>
      </w:r>
      <w:bookmarkStart w:id="1" w:name="_Hlk87386336"/>
      <w:r w:rsidR="00662FC1">
        <w:rPr>
          <w:b/>
          <w:bCs/>
          <w:sz w:val="24"/>
          <w:szCs w:val="24"/>
        </w:rPr>
        <w:t>starterssteun</w:t>
      </w:r>
    </w:p>
    <w:p w14:paraId="1A21E36F" w14:textId="77777777" w:rsidR="00662FC1" w:rsidRDefault="00662FC1" w:rsidP="00102CAF">
      <w:pPr>
        <w:rPr>
          <w:b/>
          <w:bCs/>
          <w:u w:val="single"/>
        </w:rPr>
      </w:pPr>
    </w:p>
    <w:p w14:paraId="0B4B2FA9" w14:textId="15D7C274" w:rsidR="00615E39" w:rsidRPr="00615E39" w:rsidRDefault="00615E39" w:rsidP="00102CAF">
      <w:pPr>
        <w:rPr>
          <w:b/>
          <w:bCs/>
          <w:u w:val="single"/>
        </w:rPr>
      </w:pPr>
      <w:r w:rsidRPr="00615E39">
        <w:rPr>
          <w:b/>
          <w:bCs/>
          <w:u w:val="single"/>
        </w:rPr>
        <w:t>Inleiding</w:t>
      </w:r>
    </w:p>
    <w:p w14:paraId="49CC8A10" w14:textId="097D10C1" w:rsidR="00C47F95" w:rsidRPr="00495FA1" w:rsidRDefault="00ED1D74" w:rsidP="004D0AB4">
      <w:pPr>
        <w:jc w:val="both"/>
      </w:pPr>
      <w:r w:rsidRPr="00495FA1">
        <w:t xml:space="preserve">Om subsidie te mogen toekennen aan een project, moeten de activiteiten </w:t>
      </w:r>
      <w:r w:rsidR="00C47F95" w:rsidRPr="00495FA1">
        <w:t xml:space="preserve">‘staatssteunproof’ zijn. De Europese Commissie noemt de nodige voorwaarden op basis waarvan staatssteun mag worden verleend. Deze voorwaarden worden toegelicht in de artikelen van de zogenaamde </w:t>
      </w:r>
      <w:hyperlink r:id="rId8" w:history="1">
        <w:r w:rsidR="00C47F95" w:rsidRPr="00495FA1">
          <w:rPr>
            <w:rStyle w:val="Hyperlink"/>
            <w:color w:val="auto"/>
          </w:rPr>
          <w:t>Algemene Groepsvrijstellingsverordening </w:t>
        </w:r>
      </w:hyperlink>
      <w:r w:rsidR="00C47F95" w:rsidRPr="00495FA1">
        <w:t>(AGVV).</w:t>
      </w:r>
      <w:r w:rsidR="0016623E">
        <w:rPr>
          <w:rStyle w:val="Voetnootmarkering"/>
        </w:rPr>
        <w:footnoteReference w:id="2"/>
      </w:r>
      <w:r w:rsidR="00C47F95" w:rsidRPr="00495FA1">
        <w:t xml:space="preserve"> </w:t>
      </w:r>
    </w:p>
    <w:p w14:paraId="1D364D53" w14:textId="20441066" w:rsidR="00C47F95" w:rsidRPr="00495FA1" w:rsidRDefault="00C47F95" w:rsidP="004D0AB4">
      <w:pPr>
        <w:jc w:val="both"/>
      </w:pPr>
    </w:p>
    <w:p w14:paraId="6B111E3F" w14:textId="39D73E9E" w:rsidR="000C705C" w:rsidRDefault="00622124" w:rsidP="004D0AB4">
      <w:pPr>
        <w:jc w:val="both"/>
      </w:pPr>
      <w:r w:rsidRPr="00495FA1">
        <w:t>Eén van de artikelen die gebruikt k</w:t>
      </w:r>
      <w:r w:rsidR="00495FA1">
        <w:t>an</w:t>
      </w:r>
      <w:r w:rsidRPr="00495FA1">
        <w:t xml:space="preserve"> worden is artikel </w:t>
      </w:r>
      <w:r w:rsidR="00662FC1">
        <w:t>22</w:t>
      </w:r>
      <w:r w:rsidRPr="00495FA1">
        <w:t>. Dit artikel gaat over</w:t>
      </w:r>
      <w:r w:rsidR="004D0AB4">
        <w:t xml:space="preserve"> </w:t>
      </w:r>
      <w:r w:rsidR="00662FC1">
        <w:t>regelingen inzake starterssteun</w:t>
      </w:r>
      <w:r w:rsidR="000C705C">
        <w:t>.</w:t>
      </w:r>
    </w:p>
    <w:p w14:paraId="6D35C4F9" w14:textId="3199C28E" w:rsidR="00495FA1" w:rsidRDefault="00622124" w:rsidP="004D0AB4">
      <w:pPr>
        <w:jc w:val="both"/>
      </w:pPr>
      <w:r w:rsidRPr="00495FA1">
        <w:br/>
        <w:t>In d</w:t>
      </w:r>
      <w:r w:rsidR="00C76D71">
        <w:t xml:space="preserve">it </w:t>
      </w:r>
      <w:bookmarkStart w:id="4" w:name="_Hlk87387108"/>
      <w:r w:rsidR="00C76D71">
        <w:t xml:space="preserve">formulier </w:t>
      </w:r>
      <w:r w:rsidRPr="00495FA1">
        <w:t>staatssteun</w:t>
      </w:r>
      <w:r w:rsidR="00C76D71">
        <w:t>analyse</w:t>
      </w:r>
      <w:r w:rsidRPr="00495FA1">
        <w:t xml:space="preserve"> </w:t>
      </w:r>
      <w:bookmarkEnd w:id="4"/>
      <w:r w:rsidRPr="00495FA1">
        <w:t>is het aan de aanvrager om</w:t>
      </w:r>
      <w:r w:rsidR="00F82C28" w:rsidRPr="00495FA1">
        <w:t xml:space="preserve"> in de tekstvakken,</w:t>
      </w:r>
      <w:r w:rsidRPr="00495FA1">
        <w:t xml:space="preserve"> per lid van artike</w:t>
      </w:r>
      <w:r w:rsidR="00662FC1">
        <w:t>l 22</w:t>
      </w:r>
      <w:r w:rsidR="00F82C28" w:rsidRPr="00495FA1">
        <w:t>,</w:t>
      </w:r>
      <w:r w:rsidRPr="00495FA1">
        <w:t xml:space="preserve"> aan te geven waarom het project voldoet aan de gestelde voorwaarden. </w:t>
      </w:r>
      <w:r>
        <w:br/>
      </w:r>
    </w:p>
    <w:p w14:paraId="6E35E2C8" w14:textId="03E17FA8" w:rsidR="00622124" w:rsidRDefault="00495FA1" w:rsidP="00102CAF">
      <w:r>
        <w:t xml:space="preserve">Let op: u geeft een toelichting in de tekstblokken. </w:t>
      </w:r>
      <w:r w:rsidR="00622124">
        <w:t xml:space="preserve"> </w:t>
      </w:r>
    </w:p>
    <w:bookmarkEnd w:id="1"/>
    <w:p w14:paraId="071FD143" w14:textId="77777777" w:rsidR="00495FA1" w:rsidRDefault="00495FA1" w:rsidP="00102CAF"/>
    <w:p w14:paraId="6DD0FC3E" w14:textId="77777777" w:rsidR="00495FA1" w:rsidRDefault="00495FA1" w:rsidP="00102CAF">
      <w:pPr>
        <w:rPr>
          <w:b/>
          <w:bCs/>
          <w:i/>
          <w:iCs/>
        </w:rPr>
      </w:pPr>
    </w:p>
    <w:p w14:paraId="426EF775" w14:textId="7D7A1CA7" w:rsidR="005A73BD" w:rsidRDefault="00F82C28" w:rsidP="005A73BD">
      <w:pPr>
        <w:jc w:val="both"/>
        <w:rPr>
          <w:b/>
          <w:bCs/>
          <w:i/>
          <w:iCs/>
          <w:u w:val="single"/>
        </w:rPr>
      </w:pPr>
      <w:bookmarkStart w:id="5" w:name="_Hlk87387140"/>
      <w:r w:rsidRPr="00326FA1">
        <w:rPr>
          <w:b/>
          <w:bCs/>
          <w:i/>
          <w:iCs/>
          <w:u w:val="single"/>
        </w:rPr>
        <w:t xml:space="preserve">Art </w:t>
      </w:r>
      <w:r w:rsidR="00662FC1">
        <w:rPr>
          <w:b/>
          <w:bCs/>
          <w:i/>
          <w:iCs/>
          <w:u w:val="single"/>
        </w:rPr>
        <w:t>22</w:t>
      </w:r>
      <w:r w:rsidRPr="00326FA1">
        <w:rPr>
          <w:b/>
          <w:bCs/>
          <w:i/>
          <w:iCs/>
          <w:u w:val="single"/>
        </w:rPr>
        <w:t>, lid 1:</w:t>
      </w:r>
      <w:bookmarkEnd w:id="5"/>
    </w:p>
    <w:p w14:paraId="29828BD6" w14:textId="53C027B7" w:rsidR="000C705C" w:rsidRDefault="00662FC1" w:rsidP="00662FC1">
      <w:pPr>
        <w:jc w:val="both"/>
        <w:rPr>
          <w:i/>
          <w:iCs/>
        </w:rPr>
      </w:pPr>
      <w:r w:rsidRPr="00662FC1">
        <w:rPr>
          <w:i/>
          <w:iCs/>
        </w:rPr>
        <w:t>Regelingen inzake starterssteun zijn verenigbaar met de interne markt in de zin van artikel 107, lid 3, van het Verdrag en zijn van de aanmeldingsverplichting van artikel 108, lid 3, van het Verdrag vrijgesteld, mits de in dit artikel en in hoofdstuk I vastgestelde voorwaarden zijn vervuld.</w:t>
      </w:r>
    </w:p>
    <w:p w14:paraId="0DC06A5B" w14:textId="77777777" w:rsidR="00662FC1" w:rsidRPr="00662FC1" w:rsidRDefault="00662FC1" w:rsidP="00662FC1">
      <w:pPr>
        <w:jc w:val="both"/>
        <w:rPr>
          <w:i/>
          <w:iCs/>
        </w:rPr>
      </w:pPr>
    </w:p>
    <w:p w14:paraId="350E1B6C" w14:textId="6007A02E" w:rsidR="00F635D2" w:rsidRDefault="00F635D2" w:rsidP="00F635D2">
      <w:bookmarkStart w:id="6" w:name="_Hlk87387169"/>
      <w:r>
        <w:t>Inleidend lid, geen toelichting nodig</w:t>
      </w:r>
    </w:p>
    <w:bookmarkEnd w:id="6"/>
    <w:p w14:paraId="464098F4" w14:textId="793EBFDE" w:rsidR="00F635D2" w:rsidRDefault="00F635D2" w:rsidP="00102CAF"/>
    <w:p w14:paraId="36336037" w14:textId="77777777" w:rsidR="00F82C28" w:rsidRDefault="00F82C28" w:rsidP="00102CAF">
      <w:pPr>
        <w:rPr>
          <w:i/>
          <w:iCs/>
        </w:rPr>
      </w:pPr>
    </w:p>
    <w:p w14:paraId="74BF1368" w14:textId="26C57250" w:rsidR="005A73BD" w:rsidRDefault="00F82C28" w:rsidP="005A73BD">
      <w:pPr>
        <w:jc w:val="both"/>
        <w:rPr>
          <w:b/>
          <w:bCs/>
          <w:i/>
          <w:iCs/>
          <w:u w:val="single"/>
        </w:rPr>
      </w:pPr>
      <w:r w:rsidRPr="00326FA1">
        <w:rPr>
          <w:b/>
          <w:bCs/>
          <w:i/>
          <w:iCs/>
          <w:u w:val="single"/>
        </w:rPr>
        <w:t xml:space="preserve">Art. </w:t>
      </w:r>
      <w:r w:rsidR="00662FC1">
        <w:rPr>
          <w:b/>
          <w:bCs/>
          <w:i/>
          <w:iCs/>
          <w:u w:val="single"/>
        </w:rPr>
        <w:t>22</w:t>
      </w:r>
      <w:r w:rsidRPr="00326FA1">
        <w:rPr>
          <w:b/>
          <w:bCs/>
          <w:i/>
          <w:iCs/>
          <w:u w:val="single"/>
        </w:rPr>
        <w:t xml:space="preserve">, lid </w:t>
      </w:r>
      <w:r w:rsidR="00102CAF" w:rsidRPr="00326FA1">
        <w:rPr>
          <w:b/>
          <w:bCs/>
          <w:i/>
          <w:iCs/>
          <w:u w:val="single"/>
        </w:rPr>
        <w:t>2</w:t>
      </w:r>
      <w:r w:rsidRPr="00326FA1">
        <w:rPr>
          <w:b/>
          <w:bCs/>
          <w:i/>
          <w:iCs/>
          <w:u w:val="single"/>
        </w:rPr>
        <w:t>:</w:t>
      </w:r>
    </w:p>
    <w:p w14:paraId="0B5E2B5E" w14:textId="77777777" w:rsidR="00E96D30" w:rsidRPr="00E96D30" w:rsidRDefault="00662FC1" w:rsidP="00E96D30">
      <w:pPr>
        <w:jc w:val="both"/>
        <w:rPr>
          <w:i/>
          <w:iCs/>
        </w:rPr>
      </w:pPr>
      <w:r w:rsidRPr="00E96D30">
        <w:rPr>
          <w:i/>
          <w:iCs/>
        </w:rPr>
        <w:t xml:space="preserve">In aanmerking komt elke niet-beursgenoteerde kleine onderneming tot vijf jaar na haar registratie, die aan de volgende voorwaarden voldoet: </w:t>
      </w:r>
    </w:p>
    <w:p w14:paraId="73E924DD" w14:textId="77777777" w:rsidR="00E96D30" w:rsidRPr="00E96D30" w:rsidRDefault="00E96D30" w:rsidP="00E96D30">
      <w:pPr>
        <w:jc w:val="both"/>
        <w:rPr>
          <w:i/>
          <w:iCs/>
        </w:rPr>
      </w:pPr>
    </w:p>
    <w:p w14:paraId="51ECEC09" w14:textId="77777777" w:rsidR="00E96D30" w:rsidRPr="00E96D30" w:rsidRDefault="00662FC1" w:rsidP="00E96D30">
      <w:pPr>
        <w:jc w:val="both"/>
        <w:rPr>
          <w:i/>
          <w:iCs/>
        </w:rPr>
      </w:pPr>
      <w:r w:rsidRPr="00E96D30">
        <w:rPr>
          <w:i/>
          <w:iCs/>
        </w:rPr>
        <w:t xml:space="preserve">a) zij heeft niet de activiteit van een andere onderneming overgenomen; </w:t>
      </w:r>
    </w:p>
    <w:p w14:paraId="5BA83B5E" w14:textId="77777777" w:rsidR="00E96D30" w:rsidRPr="00E96D30" w:rsidRDefault="00E96D30" w:rsidP="00E96D30">
      <w:pPr>
        <w:jc w:val="both"/>
        <w:rPr>
          <w:i/>
          <w:iCs/>
        </w:rPr>
      </w:pPr>
    </w:p>
    <w:p w14:paraId="38B5DC93" w14:textId="77777777" w:rsidR="00E96D30" w:rsidRPr="00E96D30" w:rsidRDefault="00662FC1" w:rsidP="00E96D30">
      <w:pPr>
        <w:jc w:val="both"/>
        <w:rPr>
          <w:i/>
          <w:iCs/>
        </w:rPr>
      </w:pPr>
      <w:r w:rsidRPr="00E96D30">
        <w:rPr>
          <w:i/>
          <w:iCs/>
        </w:rPr>
        <w:t xml:space="preserve">b) zij heeft nog geen winst uitgekeerd, en </w:t>
      </w:r>
    </w:p>
    <w:p w14:paraId="11F05A1D" w14:textId="77777777" w:rsidR="00E96D30" w:rsidRPr="00E96D30" w:rsidRDefault="00E96D30" w:rsidP="00E96D30">
      <w:pPr>
        <w:jc w:val="both"/>
        <w:rPr>
          <w:i/>
          <w:iCs/>
        </w:rPr>
      </w:pPr>
    </w:p>
    <w:p w14:paraId="2696C61C" w14:textId="77777777" w:rsidR="00E96D30" w:rsidRPr="00E96D30" w:rsidRDefault="00662FC1" w:rsidP="00E96D30">
      <w:pPr>
        <w:jc w:val="both"/>
        <w:rPr>
          <w:i/>
          <w:iCs/>
        </w:rPr>
      </w:pPr>
      <w:r w:rsidRPr="00E96D30">
        <w:rPr>
          <w:i/>
          <w:iCs/>
        </w:rPr>
        <w:t xml:space="preserve">c) zij is niet ontstaan uit een concentratie. </w:t>
      </w:r>
    </w:p>
    <w:p w14:paraId="498890F5" w14:textId="77777777" w:rsidR="00E96D30" w:rsidRPr="00E96D30" w:rsidRDefault="00E96D30" w:rsidP="00E96D30">
      <w:pPr>
        <w:jc w:val="both"/>
        <w:rPr>
          <w:i/>
          <w:iCs/>
        </w:rPr>
      </w:pPr>
    </w:p>
    <w:p w14:paraId="5C9B7B02" w14:textId="172DED6F" w:rsidR="000C705C" w:rsidRPr="00E96D30" w:rsidRDefault="00662FC1" w:rsidP="00E96D30">
      <w:pPr>
        <w:jc w:val="both"/>
        <w:rPr>
          <w:i/>
          <w:iCs/>
        </w:rPr>
      </w:pPr>
      <w:r w:rsidRPr="00E96D30">
        <w:rPr>
          <w:i/>
          <w:iCs/>
        </w:rPr>
        <w:t>Voor in aanmerking komende ondernemingen die zich niet hoeven te laten registreren, kan de periode van vijf jaar om in aanmerking te komen, geacht worden aan te vangen op het tijdstip dat de onderneming haar economische activiteiten aanvangt of belastingplichtig wordt voor haar economische activiteiten. In afwijking van de eerste alinea, onder c), worden ondernemingen die ontstaan uit een concentratie van ondernemingen die op grond van dit artikel voor steun in aanmerking komen, ook als in aanmerking komende ondernemingen beschouwd tot vijf jaar vanaf de registratie van de oudste onderneming die bij de concentratie betrokken is.</w:t>
      </w:r>
    </w:p>
    <w:p w14:paraId="57FA85E0" w14:textId="77777777" w:rsidR="00E96D30" w:rsidRDefault="00E96D30" w:rsidP="00102CAF">
      <w:pPr>
        <w:rPr>
          <w:i/>
          <w:iCs/>
        </w:rPr>
      </w:pPr>
    </w:p>
    <w:p w14:paraId="252C6A1C" w14:textId="7D6923B9" w:rsidR="005A73BD" w:rsidRDefault="00560991" w:rsidP="00102CAF">
      <w:r>
        <w:rPr>
          <w:noProof/>
          <w:lang w:eastAsia="nl-NL"/>
        </w:rPr>
        <w:lastRenderedPageBreak/>
        <mc:AlternateContent>
          <mc:Choice Requires="wps">
            <w:drawing>
              <wp:anchor distT="45720" distB="45720" distL="114300" distR="114300" simplePos="0" relativeHeight="251673600" behindDoc="0" locked="0" layoutInCell="1" allowOverlap="1" wp14:anchorId="458C62EC" wp14:editId="35BBD52C">
                <wp:simplePos x="0" y="0"/>
                <wp:positionH relativeFrom="margin">
                  <wp:posOffset>0</wp:posOffset>
                </wp:positionH>
                <wp:positionV relativeFrom="paragraph">
                  <wp:posOffset>223520</wp:posOffset>
                </wp:positionV>
                <wp:extent cx="5405119" cy="634364"/>
                <wp:effectExtent l="0" t="0" r="24765" b="2667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579D9A4" w14:textId="6B329FA7" w:rsidR="00560991" w:rsidRPr="002A62AB" w:rsidRDefault="00560991" w:rsidP="00560991">
                            <w:pPr>
                              <w:rPr>
                                <w:b/>
                                <w:bCs/>
                              </w:rPr>
                            </w:pPr>
                            <w:r w:rsidRPr="002A62AB">
                              <w:rPr>
                                <w:b/>
                                <w:bCs/>
                              </w:rPr>
                              <w:t xml:space="preserve">Geef hier aan waarom </w:t>
                            </w:r>
                            <w:r>
                              <w:rPr>
                                <w:b/>
                                <w:bCs/>
                              </w:rPr>
                              <w:t xml:space="preserve">wordt voldaan </w:t>
                            </w:r>
                            <w:r w:rsidRPr="002A62AB">
                              <w:rPr>
                                <w:b/>
                                <w:bCs/>
                              </w:rPr>
                              <w:t xml:space="preserve">aan artikel </w:t>
                            </w:r>
                            <w:r>
                              <w:rPr>
                                <w:b/>
                                <w:bCs/>
                              </w:rPr>
                              <w:t>22</w:t>
                            </w:r>
                            <w:r w:rsidRPr="002A62AB">
                              <w:rPr>
                                <w:b/>
                                <w:bCs/>
                              </w:rPr>
                              <w:t xml:space="preserve">, </w:t>
                            </w:r>
                            <w:r>
                              <w:rPr>
                                <w:b/>
                                <w:bCs/>
                              </w:rPr>
                              <w:t>lid 2</w:t>
                            </w:r>
                            <w:r w:rsidRPr="002A62AB">
                              <w:rPr>
                                <w:b/>
                                <w:bCs/>
                              </w:rPr>
                              <w:t>:</w:t>
                            </w:r>
                          </w:p>
                          <w:p w14:paraId="5E9F6EC6" w14:textId="77777777" w:rsidR="00560991" w:rsidRDefault="00560991" w:rsidP="00560991"/>
                          <w:p w14:paraId="2569880F" w14:textId="77777777" w:rsidR="00560991" w:rsidRDefault="00560991" w:rsidP="00560991"/>
                          <w:p w14:paraId="5C957107" w14:textId="77777777" w:rsidR="00560991" w:rsidRDefault="00560991" w:rsidP="00560991"/>
                          <w:p w14:paraId="6C1E019E" w14:textId="77777777" w:rsidR="00560991" w:rsidRDefault="00560991" w:rsidP="00560991"/>
                          <w:p w14:paraId="5630EFB3" w14:textId="77777777" w:rsidR="00560991" w:rsidRDefault="00560991" w:rsidP="00560991"/>
                          <w:p w14:paraId="2E68960C" w14:textId="77777777" w:rsidR="00560991" w:rsidRDefault="00560991" w:rsidP="00560991"/>
                          <w:p w14:paraId="7D511309" w14:textId="77777777" w:rsidR="00560991" w:rsidRDefault="00560991" w:rsidP="00560991"/>
                          <w:p w14:paraId="2A5447D1" w14:textId="77777777" w:rsidR="00560991" w:rsidRDefault="00560991" w:rsidP="00560991"/>
                          <w:p w14:paraId="7E53E707" w14:textId="77777777" w:rsidR="00560991" w:rsidRDefault="00560991" w:rsidP="00560991">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8C62EC" id="_x0000_t202" coordsize="21600,21600" o:spt="202" path="m,l,21600r21600,l21600,xe">
                <v:stroke joinstyle="miter"/>
                <v:path gradientshapeok="t" o:connecttype="rect"/>
              </v:shapetype>
              <v:shape id="Tekstvak 1" o:spid="_x0000_s1026" type="#_x0000_t202" style="position:absolute;margin-left:0;margin-top:17.6pt;width:425.6pt;height:49.9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">
                <v:textbox style="mso-fit-shape-to-text:t">
                  <w:txbxContent>
                    <w:p w14:paraId="7579D9A4" w14:textId="6B329FA7" w:rsidR="00560991" w:rsidRPr="002A62AB" w:rsidRDefault="00560991" w:rsidP="00560991">
                      <w:pPr>
                        <w:rPr>
                          <w:b/>
                          <w:bCs/>
                        </w:rPr>
                      </w:pPr>
                      <w:r w:rsidRPr="002A62AB">
                        <w:rPr>
                          <w:b/>
                          <w:bCs/>
                        </w:rPr>
                        <w:t xml:space="preserve">Geef hier aan waarom </w:t>
                      </w:r>
                      <w:r>
                        <w:rPr>
                          <w:b/>
                          <w:bCs/>
                        </w:rPr>
                        <w:t xml:space="preserve">wordt voldaan </w:t>
                      </w:r>
                      <w:r w:rsidRPr="002A62AB">
                        <w:rPr>
                          <w:b/>
                          <w:bCs/>
                        </w:rPr>
                        <w:t xml:space="preserve">aan artikel </w:t>
                      </w:r>
                      <w:r>
                        <w:rPr>
                          <w:b/>
                          <w:bCs/>
                        </w:rPr>
                        <w:t>22</w:t>
                      </w:r>
                      <w:r w:rsidRPr="002A62AB">
                        <w:rPr>
                          <w:b/>
                          <w:bCs/>
                        </w:rPr>
                        <w:t xml:space="preserve">, </w:t>
                      </w:r>
                      <w:r>
                        <w:rPr>
                          <w:b/>
                          <w:bCs/>
                        </w:rPr>
                        <w:t>lid 2</w:t>
                      </w:r>
                      <w:r w:rsidRPr="002A62AB">
                        <w:rPr>
                          <w:b/>
                          <w:bCs/>
                        </w:rPr>
                        <w:t>:</w:t>
                      </w:r>
                    </w:p>
                    <w:p w14:paraId="5E9F6EC6" w14:textId="77777777" w:rsidR="00560991" w:rsidRDefault="00560991" w:rsidP="00560991"/>
                    <w:p w14:paraId="2569880F" w14:textId="77777777" w:rsidR="00560991" w:rsidRDefault="00560991" w:rsidP="00560991"/>
                    <w:p w14:paraId="5C957107" w14:textId="77777777" w:rsidR="00560991" w:rsidRDefault="00560991" w:rsidP="00560991"/>
                    <w:p w14:paraId="6C1E019E" w14:textId="77777777" w:rsidR="00560991" w:rsidRDefault="00560991" w:rsidP="00560991"/>
                    <w:p w14:paraId="5630EFB3" w14:textId="77777777" w:rsidR="00560991" w:rsidRDefault="00560991" w:rsidP="00560991"/>
                    <w:p w14:paraId="2E68960C" w14:textId="77777777" w:rsidR="00560991" w:rsidRDefault="00560991" w:rsidP="00560991"/>
                    <w:p w14:paraId="7D511309" w14:textId="77777777" w:rsidR="00560991" w:rsidRDefault="00560991" w:rsidP="00560991"/>
                    <w:p w14:paraId="2A5447D1" w14:textId="77777777" w:rsidR="00560991" w:rsidRDefault="00560991" w:rsidP="00560991"/>
                    <w:p w14:paraId="7E53E707" w14:textId="77777777" w:rsidR="00560991" w:rsidRDefault="00560991" w:rsidP="00560991">
                      <w:r>
                        <w:t xml:space="preserve">  </w:t>
                      </w:r>
                    </w:p>
                  </w:txbxContent>
                </v:textbox>
                <w10:wrap type="topAndBottom" anchorx="margin"/>
              </v:shape>
            </w:pict>
          </mc:Fallback>
        </mc:AlternateContent>
      </w:r>
    </w:p>
    <w:p w14:paraId="372A8695" w14:textId="1023B797" w:rsidR="00560991" w:rsidRDefault="00560991" w:rsidP="00102CAF"/>
    <w:p w14:paraId="4546E150" w14:textId="77777777" w:rsidR="00560991" w:rsidRDefault="00560991" w:rsidP="00102CAF"/>
    <w:p w14:paraId="15CF3077" w14:textId="1B690C0F" w:rsidR="005A73BD" w:rsidRDefault="002A62AB" w:rsidP="005A73BD">
      <w:pPr>
        <w:jc w:val="both"/>
        <w:rPr>
          <w:b/>
          <w:bCs/>
          <w:i/>
          <w:iCs/>
          <w:u w:val="single"/>
        </w:rPr>
      </w:pPr>
      <w:r w:rsidRPr="00326FA1">
        <w:rPr>
          <w:b/>
          <w:bCs/>
          <w:i/>
          <w:iCs/>
          <w:u w:val="single"/>
        </w:rPr>
        <w:t xml:space="preserve">Art. </w:t>
      </w:r>
      <w:r w:rsidR="00E96D30">
        <w:rPr>
          <w:b/>
          <w:bCs/>
          <w:i/>
          <w:iCs/>
          <w:u w:val="single"/>
        </w:rPr>
        <w:t>22</w:t>
      </w:r>
      <w:r w:rsidR="00D1166C" w:rsidRPr="00326FA1">
        <w:rPr>
          <w:b/>
          <w:bCs/>
          <w:i/>
          <w:iCs/>
          <w:u w:val="single"/>
        </w:rPr>
        <w:t>,</w:t>
      </w:r>
      <w:r w:rsidRPr="00326FA1">
        <w:rPr>
          <w:b/>
          <w:bCs/>
          <w:i/>
          <w:iCs/>
          <w:u w:val="single"/>
        </w:rPr>
        <w:t xml:space="preserve"> lid </w:t>
      </w:r>
      <w:r w:rsidR="00102CAF" w:rsidRPr="00326FA1">
        <w:rPr>
          <w:b/>
          <w:bCs/>
          <w:i/>
          <w:iCs/>
          <w:u w:val="single"/>
        </w:rPr>
        <w:t>3</w:t>
      </w:r>
      <w:r w:rsidRPr="00326FA1">
        <w:rPr>
          <w:b/>
          <w:bCs/>
          <w:i/>
          <w:iCs/>
          <w:u w:val="single"/>
        </w:rPr>
        <w:t>:</w:t>
      </w:r>
    </w:p>
    <w:p w14:paraId="079AEA75" w14:textId="77777777" w:rsidR="00E96D30" w:rsidRPr="00E96D30" w:rsidRDefault="00E96D30" w:rsidP="005A73BD">
      <w:pPr>
        <w:jc w:val="both"/>
        <w:rPr>
          <w:i/>
          <w:iCs/>
        </w:rPr>
      </w:pPr>
      <w:r w:rsidRPr="00E96D30">
        <w:rPr>
          <w:i/>
          <w:iCs/>
        </w:rPr>
        <w:t xml:space="preserve">Starterssteun heeft de vorm van: </w:t>
      </w:r>
    </w:p>
    <w:p w14:paraId="1BFAFC88" w14:textId="77777777" w:rsidR="00E96D30" w:rsidRPr="00E96D30" w:rsidRDefault="00E96D30" w:rsidP="005A73BD">
      <w:pPr>
        <w:jc w:val="both"/>
        <w:rPr>
          <w:i/>
          <w:iCs/>
        </w:rPr>
      </w:pPr>
    </w:p>
    <w:p w14:paraId="0303B504" w14:textId="31015A89" w:rsidR="005A73BD" w:rsidRPr="00E96D30" w:rsidRDefault="00E96D30" w:rsidP="005A73BD">
      <w:pPr>
        <w:jc w:val="both"/>
        <w:rPr>
          <w:b/>
          <w:bCs/>
          <w:i/>
          <w:iCs/>
          <w:u w:val="single"/>
        </w:rPr>
      </w:pPr>
      <w:r w:rsidRPr="00E96D30">
        <w:rPr>
          <w:i/>
          <w:iCs/>
        </w:rPr>
        <w:t>c) subsidies, met inbegrip van eigenvermogens- of quasi-eigenvermogensinvesteringen, rentekortingen en kortingen op de garantiepremies tot maximaal 0,4 miljoen EUR bruto-subsidie-equivalent, of 0,6 miljoen EUR voor ondernemingen gevestigd in steungebieden die aan de voorwaarden van artikel 107, lid 3, onder c), van het Verdrag voldoen, of 0,8 miljoen EUR voor ondernemingen gevestigd in steungebieden die aan de voorwaarden van artikel 107, lid 3, onder a), van het Verdrag voldoen.</w:t>
      </w:r>
    </w:p>
    <w:p w14:paraId="71BE91A6" w14:textId="77777777" w:rsidR="0016623E" w:rsidRDefault="0016623E" w:rsidP="005A73BD">
      <w:pPr>
        <w:jc w:val="both"/>
        <w:rPr>
          <w:b/>
          <w:bCs/>
          <w:i/>
          <w:iCs/>
          <w:u w:val="single"/>
        </w:rPr>
      </w:pPr>
    </w:p>
    <w:p w14:paraId="44319899" w14:textId="66F75B4E" w:rsidR="0016623E" w:rsidRDefault="0016623E" w:rsidP="005A73BD">
      <w:pPr>
        <w:jc w:val="both"/>
        <w:rPr>
          <w:b/>
          <w:bCs/>
          <w:i/>
          <w:iCs/>
          <w:u w:val="single"/>
        </w:rPr>
      </w:pPr>
      <w:bookmarkStart w:id="7" w:name="_Hlk105150757"/>
      <w:bookmarkStart w:id="8" w:name="_Hlk105151671"/>
      <w:bookmarkStart w:id="9" w:name="_Hlk105152516"/>
      <w:r>
        <w:rPr>
          <w:b/>
          <w:bCs/>
        </w:rPr>
        <w:t xml:space="preserve">Toelichting: </w:t>
      </w:r>
      <w:bookmarkStart w:id="10" w:name="_Hlk105150587"/>
      <w:r>
        <w:t>„</w:t>
      </w:r>
      <w:bookmarkEnd w:id="10"/>
      <w:r>
        <w:t>steungebieden”</w:t>
      </w:r>
      <w:bookmarkEnd w:id="7"/>
      <w:r>
        <w:t xml:space="preserve">: </w:t>
      </w:r>
      <w:bookmarkEnd w:id="8"/>
      <w:r>
        <w:t>gebieden die zijn opgenomen op een op grond van artikel 107, lid 3, onder a) en c), van het Verdrag goedgekeurde regionale-steunkaart voor de periode van 1 juli 2014 tot en met 31 december 2021 wat betreft regionale steun die tot 31 december 2021 wordt verleend, en gebieden die zijn opgenomen op een op grond van artikel 107, lid 3, onder a) en c), van het Verdrag goedgekeurde regionale-steunkaart voor de periode van 1 januari 2022 tot en met 31 december 2027 wat betreft regionale steun die na 31 december 2021 wordt verleend.</w:t>
      </w:r>
      <w:r>
        <w:rPr>
          <w:rStyle w:val="Voetnootmarkering"/>
        </w:rPr>
        <w:footnoteReference w:id="3"/>
      </w:r>
      <w:bookmarkEnd w:id="9"/>
    </w:p>
    <w:p w14:paraId="5AC8CBC3" w14:textId="61DC72ED" w:rsidR="007F3ECE" w:rsidRPr="0016623E" w:rsidRDefault="00A628A2" w:rsidP="000C705C">
      <w:pPr>
        <w:jc w:val="both"/>
        <w:rPr>
          <w:b/>
          <w:bCs/>
          <w:i/>
          <w:iCs/>
          <w:u w:val="single"/>
        </w:rPr>
      </w:pPr>
      <w:r>
        <w:rPr>
          <w:noProof/>
          <w:lang w:eastAsia="nl-NL"/>
        </w:rPr>
        <mc:AlternateContent>
          <mc:Choice Requires="wps">
            <w:drawing>
              <wp:anchor distT="45720" distB="45720" distL="114300" distR="114300" simplePos="0" relativeHeight="251669504" behindDoc="0" locked="0" layoutInCell="1" allowOverlap="1" wp14:anchorId="548651CB" wp14:editId="243F31AD">
                <wp:simplePos x="0" y="0"/>
                <wp:positionH relativeFrom="margin">
                  <wp:align>left</wp:align>
                </wp:positionH>
                <wp:positionV relativeFrom="paragraph">
                  <wp:posOffset>271780</wp:posOffset>
                </wp:positionV>
                <wp:extent cx="5405119" cy="634364"/>
                <wp:effectExtent l="0" t="0" r="24765" b="266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FBE2D66" w14:textId="2ACD9B93" w:rsidR="00185309" w:rsidRPr="002A62AB" w:rsidRDefault="00185309" w:rsidP="00185309">
                            <w:pPr>
                              <w:rPr>
                                <w:b/>
                                <w:bCs/>
                              </w:rPr>
                            </w:pPr>
                            <w:r w:rsidRPr="002A62AB">
                              <w:rPr>
                                <w:b/>
                                <w:bCs/>
                              </w:rPr>
                              <w:t xml:space="preserve">Geef hier aan waarom </w:t>
                            </w:r>
                            <w:r w:rsidR="00E96D30">
                              <w:rPr>
                                <w:b/>
                                <w:bCs/>
                              </w:rPr>
                              <w:t>wordt voldaan</w:t>
                            </w:r>
                            <w:r>
                              <w:rPr>
                                <w:b/>
                                <w:bCs/>
                              </w:rPr>
                              <w:t xml:space="preserve"> </w:t>
                            </w:r>
                            <w:r w:rsidRPr="002A62AB">
                              <w:rPr>
                                <w:b/>
                                <w:bCs/>
                              </w:rPr>
                              <w:t xml:space="preserve">aan artikel </w:t>
                            </w:r>
                            <w:r w:rsidR="00E96D30">
                              <w:rPr>
                                <w:b/>
                                <w:bCs/>
                              </w:rPr>
                              <w:t>22</w:t>
                            </w:r>
                            <w:r w:rsidRPr="002A62AB">
                              <w:rPr>
                                <w:b/>
                                <w:bCs/>
                              </w:rPr>
                              <w:t xml:space="preserve">, </w:t>
                            </w:r>
                            <w:r w:rsidR="00A628A2">
                              <w:rPr>
                                <w:b/>
                                <w:bCs/>
                              </w:rPr>
                              <w:t xml:space="preserve">lid </w:t>
                            </w:r>
                            <w:r w:rsidR="000C705C">
                              <w:rPr>
                                <w:b/>
                                <w:bCs/>
                              </w:rPr>
                              <w:t>3</w:t>
                            </w:r>
                            <w:r w:rsidRPr="002A62AB">
                              <w:rPr>
                                <w:b/>
                                <w:bCs/>
                              </w:rPr>
                              <w:t>:</w:t>
                            </w:r>
                          </w:p>
                          <w:p w14:paraId="7DE06A82" w14:textId="77777777" w:rsidR="00185309" w:rsidRDefault="00185309" w:rsidP="00185309"/>
                          <w:p w14:paraId="2562EFDE" w14:textId="77777777" w:rsidR="00185309" w:rsidRDefault="00185309" w:rsidP="00185309"/>
                          <w:p w14:paraId="5F98EE30" w14:textId="77777777" w:rsidR="00185309" w:rsidRDefault="00185309" w:rsidP="00185309"/>
                          <w:p w14:paraId="08F69FC7" w14:textId="77777777" w:rsidR="00185309" w:rsidRDefault="00185309" w:rsidP="00185309"/>
                          <w:p w14:paraId="785C3DD3" w14:textId="77777777" w:rsidR="00185309" w:rsidRDefault="00185309" w:rsidP="00185309"/>
                          <w:p w14:paraId="05BCD220" w14:textId="77777777" w:rsidR="00185309" w:rsidRDefault="00185309" w:rsidP="00185309"/>
                          <w:p w14:paraId="37D5BC83" w14:textId="77777777" w:rsidR="00185309" w:rsidRDefault="00185309" w:rsidP="00185309"/>
                          <w:p w14:paraId="1DADD1D9" w14:textId="77777777" w:rsidR="00185309" w:rsidRDefault="00185309" w:rsidP="00185309"/>
                          <w:p w14:paraId="305826A8" w14:textId="77777777" w:rsidR="00185309" w:rsidRDefault="00185309" w:rsidP="0018530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651CB" id="Tekstvak 3" o:spid="_x0000_s1027" type="#_x0000_t202" style="position:absolute;left:0;text-align:left;margin-left:0;margin-top:21.4pt;width:425.6pt;height:49.95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">
                <v:textbox style="mso-fit-shape-to-text:t">
                  <w:txbxContent>
                    <w:p w14:paraId="3FBE2D66" w14:textId="2ACD9B93" w:rsidR="00185309" w:rsidRPr="002A62AB" w:rsidRDefault="00185309" w:rsidP="00185309">
                      <w:pPr>
                        <w:rPr>
                          <w:b/>
                          <w:bCs/>
                        </w:rPr>
                      </w:pPr>
                      <w:r w:rsidRPr="002A62AB">
                        <w:rPr>
                          <w:b/>
                          <w:bCs/>
                        </w:rPr>
                        <w:t xml:space="preserve">Geef hier aan waarom </w:t>
                      </w:r>
                      <w:r w:rsidR="00E96D30">
                        <w:rPr>
                          <w:b/>
                          <w:bCs/>
                        </w:rPr>
                        <w:t>wordt voldaan</w:t>
                      </w:r>
                      <w:r>
                        <w:rPr>
                          <w:b/>
                          <w:bCs/>
                        </w:rPr>
                        <w:t xml:space="preserve"> </w:t>
                      </w:r>
                      <w:r w:rsidRPr="002A62AB">
                        <w:rPr>
                          <w:b/>
                          <w:bCs/>
                        </w:rPr>
                        <w:t xml:space="preserve">aan artikel </w:t>
                      </w:r>
                      <w:r w:rsidR="00E96D30">
                        <w:rPr>
                          <w:b/>
                          <w:bCs/>
                        </w:rPr>
                        <w:t>22</w:t>
                      </w:r>
                      <w:r w:rsidRPr="002A62AB">
                        <w:rPr>
                          <w:b/>
                          <w:bCs/>
                        </w:rPr>
                        <w:t xml:space="preserve">, </w:t>
                      </w:r>
                      <w:r w:rsidR="00A628A2">
                        <w:rPr>
                          <w:b/>
                          <w:bCs/>
                        </w:rPr>
                        <w:t xml:space="preserve">lid </w:t>
                      </w:r>
                      <w:r w:rsidR="000C705C">
                        <w:rPr>
                          <w:b/>
                          <w:bCs/>
                        </w:rPr>
                        <w:t>3</w:t>
                      </w:r>
                      <w:r w:rsidRPr="002A62AB">
                        <w:rPr>
                          <w:b/>
                          <w:bCs/>
                        </w:rPr>
                        <w:t>:</w:t>
                      </w:r>
                    </w:p>
                    <w:p w14:paraId="7DE06A82" w14:textId="77777777" w:rsidR="00185309" w:rsidRDefault="00185309" w:rsidP="00185309"/>
                    <w:p w14:paraId="2562EFDE" w14:textId="77777777" w:rsidR="00185309" w:rsidRDefault="00185309" w:rsidP="00185309"/>
                    <w:p w14:paraId="5F98EE30" w14:textId="77777777" w:rsidR="00185309" w:rsidRDefault="00185309" w:rsidP="00185309"/>
                    <w:p w14:paraId="08F69FC7" w14:textId="77777777" w:rsidR="00185309" w:rsidRDefault="00185309" w:rsidP="00185309"/>
                    <w:p w14:paraId="785C3DD3" w14:textId="77777777" w:rsidR="00185309" w:rsidRDefault="00185309" w:rsidP="00185309"/>
                    <w:p w14:paraId="05BCD220" w14:textId="77777777" w:rsidR="00185309" w:rsidRDefault="00185309" w:rsidP="00185309"/>
                    <w:p w14:paraId="37D5BC83" w14:textId="77777777" w:rsidR="00185309" w:rsidRDefault="00185309" w:rsidP="00185309"/>
                    <w:p w14:paraId="1DADD1D9" w14:textId="77777777" w:rsidR="00185309" w:rsidRDefault="00185309" w:rsidP="00185309"/>
                    <w:p w14:paraId="305826A8" w14:textId="77777777" w:rsidR="00185309" w:rsidRDefault="00185309" w:rsidP="00185309">
                      <w:r>
                        <w:t xml:space="preserve">  </w:t>
                      </w:r>
                    </w:p>
                  </w:txbxContent>
                </v:textbox>
                <w10:wrap type="topAndBottom" anchorx="margin"/>
              </v:shape>
            </w:pict>
          </mc:Fallback>
        </mc:AlternateContent>
      </w:r>
    </w:p>
    <w:p w14:paraId="25C846D2" w14:textId="6131C7A3" w:rsidR="00A628A2" w:rsidRDefault="00A628A2" w:rsidP="000C705C">
      <w:pPr>
        <w:jc w:val="both"/>
      </w:pPr>
    </w:p>
    <w:p w14:paraId="4DC49460" w14:textId="77777777" w:rsidR="0016623E" w:rsidRDefault="0016623E" w:rsidP="000C705C">
      <w:pPr>
        <w:jc w:val="both"/>
      </w:pPr>
    </w:p>
    <w:p w14:paraId="405A0B58" w14:textId="060DE748" w:rsidR="00E96D30" w:rsidRDefault="00E96D30" w:rsidP="00E96D30">
      <w:pPr>
        <w:jc w:val="both"/>
        <w:rPr>
          <w:b/>
          <w:bCs/>
          <w:i/>
          <w:iCs/>
          <w:u w:val="single"/>
        </w:rPr>
      </w:pPr>
      <w:r w:rsidRPr="00326FA1">
        <w:rPr>
          <w:b/>
          <w:bCs/>
          <w:i/>
          <w:iCs/>
          <w:u w:val="single"/>
        </w:rPr>
        <w:t xml:space="preserve">Art. </w:t>
      </w:r>
      <w:r>
        <w:rPr>
          <w:b/>
          <w:bCs/>
          <w:i/>
          <w:iCs/>
          <w:u w:val="single"/>
        </w:rPr>
        <w:t>22</w:t>
      </w:r>
      <w:r w:rsidRPr="00326FA1">
        <w:rPr>
          <w:b/>
          <w:bCs/>
          <w:i/>
          <w:iCs/>
          <w:u w:val="single"/>
        </w:rPr>
        <w:t xml:space="preserve">, lid </w:t>
      </w:r>
      <w:r>
        <w:rPr>
          <w:b/>
          <w:bCs/>
          <w:i/>
          <w:iCs/>
          <w:u w:val="single"/>
        </w:rPr>
        <w:t>5:</w:t>
      </w:r>
    </w:p>
    <w:p w14:paraId="3D8381D2" w14:textId="77777777" w:rsidR="00E96D30" w:rsidRDefault="00E96D30" w:rsidP="005358D5">
      <w:pPr>
        <w:jc w:val="both"/>
      </w:pPr>
      <w:r w:rsidRPr="00E96D30">
        <w:rPr>
          <w:i/>
          <w:iCs/>
        </w:rPr>
        <w:t>Voor kleine en innovatieve ondernemingen kunnen de in lid 3 genoemde maximumbedragen worden verdubbeld.</w:t>
      </w:r>
    </w:p>
    <w:p w14:paraId="15C390D4" w14:textId="45612253" w:rsidR="00127D69" w:rsidRDefault="00127D69" w:rsidP="005358D5">
      <w:pPr>
        <w:pStyle w:val="Tekstopmerking"/>
        <w:jc w:val="both"/>
      </w:pPr>
      <w:r>
        <w:rPr>
          <w:b/>
          <w:bCs/>
        </w:rPr>
        <w:lastRenderedPageBreak/>
        <w:t xml:space="preserve">Toelichting: </w:t>
      </w:r>
      <w:r>
        <w:t>„kleine onderneming’’: een onderneming waar minder dan 50 personen werkzaam zijn en waarvan de jaaromzet of het jaarlijkse balanstotaal 10 miljoen EUR niet overschrijdt.</w:t>
      </w:r>
    </w:p>
    <w:p w14:paraId="0A97C007" w14:textId="77777777" w:rsidR="00127D69" w:rsidRDefault="00127D69" w:rsidP="005358D5">
      <w:pPr>
        <w:pStyle w:val="Tekstopmerking"/>
        <w:jc w:val="both"/>
      </w:pPr>
    </w:p>
    <w:p w14:paraId="14F34029" w14:textId="29159D12" w:rsidR="00127D69" w:rsidRDefault="00127D69" w:rsidP="005358D5">
      <w:pPr>
        <w:pStyle w:val="Tekstopmerking"/>
        <w:jc w:val="both"/>
      </w:pPr>
      <w:r>
        <w:rPr>
          <w:b/>
          <w:bCs/>
        </w:rPr>
        <w:t xml:space="preserve">Toelichting: </w:t>
      </w:r>
      <w:r>
        <w:t>„innovatieve onderneming’’: een onderneming:</w:t>
      </w:r>
    </w:p>
    <w:p w14:paraId="4B4C1043" w14:textId="77777777" w:rsidR="00127D69" w:rsidRDefault="00127D69" w:rsidP="005358D5">
      <w:pPr>
        <w:pStyle w:val="Tekstopmerking"/>
        <w:numPr>
          <w:ilvl w:val="0"/>
          <w:numId w:val="15"/>
        </w:numPr>
        <w:jc w:val="both"/>
      </w:pPr>
      <w:r>
        <w:t>die aan de hand van een door een externe deskundige uitgevoerde evaluatie kan aantonen dat zij in de voorzienbare toekomst producten, diensten of procedés zal ontwikkelen die in technologisch opzicht nieuw zijn of een wezenlijke verbetering inhouden ten opzichte van de huidige stand van de techniek in deze sector, en die een risico op technologische of industriële mislukking inhouden, of</w:t>
      </w:r>
    </w:p>
    <w:p w14:paraId="5BA01740" w14:textId="634CF9AE" w:rsidR="00127D69" w:rsidRDefault="00127D69" w:rsidP="005358D5">
      <w:pPr>
        <w:pStyle w:val="Tekstopmerking"/>
        <w:numPr>
          <w:ilvl w:val="0"/>
          <w:numId w:val="15"/>
        </w:numPr>
        <w:jc w:val="both"/>
      </w:pPr>
      <w:r>
        <w:t>waarvan de kosten voor onderzoek en ontwikkeling ten minste 10 % bedragen van haar totale exploitatiekosten in ten minste één van de drie jaren voorafgaande aan de toekenning van de steun of, in het geval van een startende onderneming zonder enige financiële voorgeschiedenis, bij de audit van haar lopende belastingjaar, gecertificeerd door een onafhankelijke accountant.</w:t>
      </w:r>
    </w:p>
    <w:p w14:paraId="447B96F7" w14:textId="08DE84FA" w:rsidR="00D1166C" w:rsidRPr="00E96D30" w:rsidRDefault="00E96D30" w:rsidP="00E7133A">
      <w:r w:rsidRPr="00E96D30">
        <w:rPr>
          <w:noProof/>
          <w:lang w:eastAsia="nl-NL"/>
        </w:rPr>
        <mc:AlternateContent>
          <mc:Choice Requires="wps">
            <w:drawing>
              <wp:anchor distT="45720" distB="45720" distL="114300" distR="114300" simplePos="0" relativeHeight="251671552" behindDoc="0" locked="0" layoutInCell="1" allowOverlap="1" wp14:anchorId="1BC4EF57" wp14:editId="5D777197">
                <wp:simplePos x="0" y="0"/>
                <wp:positionH relativeFrom="margin">
                  <wp:align>left</wp:align>
                </wp:positionH>
                <wp:positionV relativeFrom="paragraph">
                  <wp:posOffset>233680</wp:posOffset>
                </wp:positionV>
                <wp:extent cx="5405119" cy="634364"/>
                <wp:effectExtent l="0" t="0" r="24765" b="266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1ABD8F3" w14:textId="7E51E7CB" w:rsidR="00185309" w:rsidRPr="002A62AB" w:rsidRDefault="00185309" w:rsidP="00185309">
                            <w:pPr>
                              <w:rPr>
                                <w:b/>
                                <w:bCs/>
                              </w:rPr>
                            </w:pPr>
                            <w:r w:rsidRPr="002A62AB">
                              <w:rPr>
                                <w:b/>
                                <w:bCs/>
                              </w:rPr>
                              <w:t>Geef hier aan</w:t>
                            </w:r>
                            <w:r w:rsidR="00E96D30">
                              <w:rPr>
                                <w:b/>
                                <w:bCs/>
                              </w:rPr>
                              <w:t xml:space="preserve"> of en zo ja,</w:t>
                            </w:r>
                            <w:r w:rsidRPr="002A62AB">
                              <w:rPr>
                                <w:b/>
                                <w:bCs/>
                              </w:rPr>
                              <w:t xml:space="preserve"> waarom </w:t>
                            </w:r>
                            <w:r>
                              <w:rPr>
                                <w:b/>
                                <w:bCs/>
                              </w:rPr>
                              <w:t xml:space="preserve">wordt voldaan </w:t>
                            </w:r>
                            <w:r w:rsidRPr="002A62AB">
                              <w:rPr>
                                <w:b/>
                                <w:bCs/>
                              </w:rPr>
                              <w:t xml:space="preserve">aan artikel </w:t>
                            </w:r>
                            <w:r w:rsidR="00E96D30">
                              <w:rPr>
                                <w:b/>
                                <w:bCs/>
                              </w:rPr>
                              <w:t>22</w:t>
                            </w:r>
                            <w:r w:rsidRPr="002A62AB">
                              <w:rPr>
                                <w:b/>
                                <w:bCs/>
                              </w:rPr>
                              <w:t>, lid</w:t>
                            </w:r>
                            <w:r w:rsidR="00A628A2">
                              <w:rPr>
                                <w:b/>
                                <w:bCs/>
                              </w:rPr>
                              <w:t xml:space="preserve"> 4 en</w:t>
                            </w:r>
                            <w:r w:rsidRPr="002A62AB">
                              <w:rPr>
                                <w:b/>
                                <w:bCs/>
                              </w:rPr>
                              <w:t xml:space="preserve"> </w:t>
                            </w:r>
                            <w:r w:rsidR="00E96D30">
                              <w:rPr>
                                <w:b/>
                                <w:bCs/>
                              </w:rPr>
                              <w:t>5</w:t>
                            </w:r>
                            <w:r w:rsidRPr="002A62AB">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4EF57" id="Tekstvak 5" o:spid="_x0000_s1028" type="#_x0000_t202" style="position:absolute;margin-left:0;margin-top:18.4pt;width:425.6pt;height:49.9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">
                <v:textbox style="mso-fit-shape-to-text:t">
                  <w:txbxContent>
                    <w:p w14:paraId="01ABD8F3" w14:textId="7E51E7CB" w:rsidR="00185309" w:rsidRPr="002A62AB" w:rsidRDefault="00185309" w:rsidP="00185309">
                      <w:pPr>
                        <w:rPr>
                          <w:b/>
                          <w:bCs/>
                        </w:rPr>
                      </w:pPr>
                      <w:r w:rsidRPr="002A62AB">
                        <w:rPr>
                          <w:b/>
                          <w:bCs/>
                        </w:rPr>
                        <w:t>Geef hier aan</w:t>
                      </w:r>
                      <w:r w:rsidR="00E96D30">
                        <w:rPr>
                          <w:b/>
                          <w:bCs/>
                        </w:rPr>
                        <w:t xml:space="preserve"> of en zo ja,</w:t>
                      </w:r>
                      <w:r w:rsidRPr="002A62AB">
                        <w:rPr>
                          <w:b/>
                          <w:bCs/>
                        </w:rPr>
                        <w:t xml:space="preserve"> waarom </w:t>
                      </w:r>
                      <w:r>
                        <w:rPr>
                          <w:b/>
                          <w:bCs/>
                        </w:rPr>
                        <w:t xml:space="preserve">wordt voldaan </w:t>
                      </w:r>
                      <w:r w:rsidRPr="002A62AB">
                        <w:rPr>
                          <w:b/>
                          <w:bCs/>
                        </w:rPr>
                        <w:t xml:space="preserve">aan artikel </w:t>
                      </w:r>
                      <w:r w:rsidR="00E96D30">
                        <w:rPr>
                          <w:b/>
                          <w:bCs/>
                        </w:rPr>
                        <w:t>22</w:t>
                      </w:r>
                      <w:r w:rsidRPr="002A62AB">
                        <w:rPr>
                          <w:b/>
                          <w:bCs/>
                        </w:rPr>
                        <w:t>, lid</w:t>
                      </w:r>
                      <w:r w:rsidR="00A628A2">
                        <w:rPr>
                          <w:b/>
                          <w:bCs/>
                        </w:rPr>
                        <w:t xml:space="preserve"> 4 en</w:t>
                      </w:r>
                      <w:r w:rsidRPr="002A62AB">
                        <w:rPr>
                          <w:b/>
                          <w:bCs/>
                        </w:rPr>
                        <w:t xml:space="preserve"> </w:t>
                      </w:r>
                      <w:r w:rsidR="00E96D30">
                        <w:rPr>
                          <w:b/>
                          <w:bCs/>
                        </w:rPr>
                        <w:t>5</w:t>
                      </w:r>
                      <w:r w:rsidRPr="002A62AB">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v:textbox>
                <w10:wrap type="topAndBottom" anchorx="margin"/>
              </v:shape>
            </w:pict>
          </mc:Fallback>
        </mc:AlternateContent>
      </w:r>
    </w:p>
    <w:sectPr w:rsidR="00D1166C" w:rsidRPr="00E96D30" w:rsidSect="00C76D71">
      <w:headerReference w:type="even" r:id="rId9"/>
      <w:headerReference w:type="default" r:id="rId10"/>
      <w:footerReference w:type="even" r:id="rId11"/>
      <w:footerReference w:type="default" r:id="rId12"/>
      <w:headerReference w:type="first" r:id="rId13"/>
      <w:footerReference w:type="first" r:id="rId14"/>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4376" w14:textId="77777777" w:rsidR="00492B69" w:rsidRDefault="00492B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61E8" w14:textId="32365A3C" w:rsidR="005F644F" w:rsidRDefault="005F644F" w:rsidP="005F644F">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66902124" wp14:editId="11BB0DF0">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4" name="Afbeelding 4"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AD098B">
      <w:rPr>
        <w:rFonts w:asciiTheme="minorHAnsi" w:hAnsiTheme="minorHAnsi" w:cstheme="minorHAnsi"/>
        <w:b/>
        <w:bCs/>
        <w:color w:val="004A99"/>
      </w:rPr>
      <w:t>JTF</w:t>
    </w:r>
    <w:r>
      <w:rPr>
        <w:rFonts w:asciiTheme="minorHAnsi" w:hAnsiTheme="minorHAnsi" w:cstheme="minorHAnsi"/>
        <w:b/>
        <w:bCs/>
        <w:color w:val="004A99"/>
      </w:rPr>
      <w:t xml:space="preserve"> 2021-2027</w:t>
    </w:r>
  </w:p>
  <w:p w14:paraId="195020F9" w14:textId="77777777" w:rsidR="00492B69" w:rsidRPr="005F644F" w:rsidRDefault="00492B69" w:rsidP="005F64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A1A5" w14:textId="77777777" w:rsidR="00492B69" w:rsidRDefault="00492B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AD098B"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1DF8627B" w14:textId="4C8A7522" w:rsidR="0016623E" w:rsidRDefault="0016623E">
      <w:pPr>
        <w:pStyle w:val="Voetnoottekst"/>
      </w:pPr>
      <w:r>
        <w:rPr>
          <w:rStyle w:val="Voetnootmarkering"/>
        </w:rPr>
        <w:footnoteRef/>
      </w:r>
      <w:r>
        <w:t xml:space="preserve"> </w:t>
      </w:r>
      <w:bookmarkStart w:id="2" w:name="_Hlk105151433"/>
      <w:bookmarkStart w:id="3" w:name="_Hlk105150313"/>
      <w:r>
        <w:t>D</w:t>
      </w:r>
      <w:r w:rsidRPr="000A03AF">
        <w:t xml:space="preserve">e AGVV </w:t>
      </w:r>
      <w:r>
        <w:t xml:space="preserve">zal in 2022 </w:t>
      </w:r>
      <w:r w:rsidRPr="000A03AF">
        <w:t>worden gewijzigd</w:t>
      </w:r>
      <w:r>
        <w:t xml:space="preserve">. Het kan daardoor zijn </w:t>
      </w:r>
      <w:r w:rsidRPr="000A03AF">
        <w:t>dat deze checklist wijzigt.</w:t>
      </w:r>
      <w:bookmarkEnd w:id="2"/>
      <w:bookmarkEnd w:id="3"/>
    </w:p>
  </w:footnote>
  <w:footnote w:id="3">
    <w:p w14:paraId="1F904EE6" w14:textId="77777777" w:rsidR="0016623E" w:rsidRDefault="0016623E" w:rsidP="0016623E">
      <w:pPr>
        <w:pStyle w:val="Voetnoottekst"/>
      </w:pPr>
      <w:r>
        <w:rPr>
          <w:rStyle w:val="Voetnootmarkering"/>
        </w:rPr>
        <w:footnoteRef/>
      </w:r>
      <w:r>
        <w:t xml:space="preserve"> Zie de website van de Beheerautoriteit voor een overzichtskaart van de a- en c-steungebieden in de betreffende regio.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BB72" w14:textId="77777777" w:rsidR="00492B69" w:rsidRDefault="00492B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A937" w14:textId="77777777" w:rsidR="00492B69" w:rsidRDefault="00492B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9E77" w14:textId="77777777" w:rsidR="00492B69" w:rsidRDefault="00492B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9C21DC"/>
    <w:multiLevelType w:val="hybridMultilevel"/>
    <w:tmpl w:val="7C7C0EF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2877365">
    <w:abstractNumId w:val="8"/>
  </w:num>
  <w:num w:numId="2" w16cid:durableId="1025207805">
    <w:abstractNumId w:val="3"/>
  </w:num>
  <w:num w:numId="3" w16cid:durableId="175661171">
    <w:abstractNumId w:val="12"/>
  </w:num>
  <w:num w:numId="4" w16cid:durableId="1239636174">
    <w:abstractNumId w:val="7"/>
  </w:num>
  <w:num w:numId="5" w16cid:durableId="827134835">
    <w:abstractNumId w:val="0"/>
  </w:num>
  <w:num w:numId="6" w16cid:durableId="957488495">
    <w:abstractNumId w:val="11"/>
  </w:num>
  <w:num w:numId="7" w16cid:durableId="1302685905">
    <w:abstractNumId w:val="1"/>
  </w:num>
  <w:num w:numId="8" w16cid:durableId="28185249">
    <w:abstractNumId w:val="9"/>
  </w:num>
  <w:num w:numId="9" w16cid:durableId="480541243">
    <w:abstractNumId w:val="6"/>
  </w:num>
  <w:num w:numId="10" w16cid:durableId="1251088496">
    <w:abstractNumId w:val="7"/>
  </w:num>
  <w:num w:numId="11" w16cid:durableId="910697601">
    <w:abstractNumId w:val="7"/>
  </w:num>
  <w:num w:numId="12" w16cid:durableId="1274364725">
    <w:abstractNumId w:val="2"/>
  </w:num>
  <w:num w:numId="13" w16cid:durableId="1398700157">
    <w:abstractNumId w:val="4"/>
  </w:num>
  <w:num w:numId="14" w16cid:durableId="47649988">
    <w:abstractNumId w:val="10"/>
  </w:num>
  <w:num w:numId="15" w16cid:durableId="953368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939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72673"/>
    <w:rsid w:val="000C705C"/>
    <w:rsid w:val="000D1C37"/>
    <w:rsid w:val="000D3E45"/>
    <w:rsid w:val="000F3550"/>
    <w:rsid w:val="00102CAF"/>
    <w:rsid w:val="00102D36"/>
    <w:rsid w:val="00110A65"/>
    <w:rsid w:val="00114B25"/>
    <w:rsid w:val="001248A8"/>
    <w:rsid w:val="00127D69"/>
    <w:rsid w:val="00147844"/>
    <w:rsid w:val="00157BCE"/>
    <w:rsid w:val="0016623E"/>
    <w:rsid w:val="00185309"/>
    <w:rsid w:val="001955D0"/>
    <w:rsid w:val="00197612"/>
    <w:rsid w:val="001B5673"/>
    <w:rsid w:val="001B5BF7"/>
    <w:rsid w:val="001C517A"/>
    <w:rsid w:val="001D03DE"/>
    <w:rsid w:val="00201945"/>
    <w:rsid w:val="00211907"/>
    <w:rsid w:val="00220436"/>
    <w:rsid w:val="00267E3F"/>
    <w:rsid w:val="0028560D"/>
    <w:rsid w:val="002A1800"/>
    <w:rsid w:val="002A40B7"/>
    <w:rsid w:val="002A62AB"/>
    <w:rsid w:val="002C0F9A"/>
    <w:rsid w:val="002D53F5"/>
    <w:rsid w:val="002D7EE3"/>
    <w:rsid w:val="002F2904"/>
    <w:rsid w:val="00304109"/>
    <w:rsid w:val="00320864"/>
    <w:rsid w:val="00326FA1"/>
    <w:rsid w:val="003408E8"/>
    <w:rsid w:val="00343FA7"/>
    <w:rsid w:val="0034652F"/>
    <w:rsid w:val="003812AF"/>
    <w:rsid w:val="003849F9"/>
    <w:rsid w:val="003950D3"/>
    <w:rsid w:val="003D6486"/>
    <w:rsid w:val="004138C8"/>
    <w:rsid w:val="00414E29"/>
    <w:rsid w:val="0042793D"/>
    <w:rsid w:val="00447DEC"/>
    <w:rsid w:val="00452EBF"/>
    <w:rsid w:val="00454CF1"/>
    <w:rsid w:val="004622C9"/>
    <w:rsid w:val="00465D20"/>
    <w:rsid w:val="0047090C"/>
    <w:rsid w:val="00492B69"/>
    <w:rsid w:val="00495FA1"/>
    <w:rsid w:val="004C76F8"/>
    <w:rsid w:val="004D0AB4"/>
    <w:rsid w:val="004D55F1"/>
    <w:rsid w:val="004D7111"/>
    <w:rsid w:val="00524790"/>
    <w:rsid w:val="005358D5"/>
    <w:rsid w:val="005471E0"/>
    <w:rsid w:val="00556EF5"/>
    <w:rsid w:val="00560991"/>
    <w:rsid w:val="00571B15"/>
    <w:rsid w:val="00571B71"/>
    <w:rsid w:val="005831C5"/>
    <w:rsid w:val="005A0EE6"/>
    <w:rsid w:val="005A73BD"/>
    <w:rsid w:val="005C1E2B"/>
    <w:rsid w:val="005D4A60"/>
    <w:rsid w:val="005E6B57"/>
    <w:rsid w:val="005F34FE"/>
    <w:rsid w:val="005F60F6"/>
    <w:rsid w:val="005F644F"/>
    <w:rsid w:val="00615E39"/>
    <w:rsid w:val="00621815"/>
    <w:rsid w:val="00622124"/>
    <w:rsid w:val="00627D64"/>
    <w:rsid w:val="00630F0B"/>
    <w:rsid w:val="00646DBF"/>
    <w:rsid w:val="00650DB0"/>
    <w:rsid w:val="006571CE"/>
    <w:rsid w:val="00662FC1"/>
    <w:rsid w:val="00685E27"/>
    <w:rsid w:val="006A53D1"/>
    <w:rsid w:val="006D3559"/>
    <w:rsid w:val="006F05CC"/>
    <w:rsid w:val="006F631B"/>
    <w:rsid w:val="006F6F4B"/>
    <w:rsid w:val="007045B8"/>
    <w:rsid w:val="0075030E"/>
    <w:rsid w:val="007840F7"/>
    <w:rsid w:val="007F3ECE"/>
    <w:rsid w:val="007F5D2B"/>
    <w:rsid w:val="00822991"/>
    <w:rsid w:val="00834F47"/>
    <w:rsid w:val="008418FE"/>
    <w:rsid w:val="00877CD3"/>
    <w:rsid w:val="00881667"/>
    <w:rsid w:val="008858B5"/>
    <w:rsid w:val="00893CDE"/>
    <w:rsid w:val="008C4B99"/>
    <w:rsid w:val="00912F32"/>
    <w:rsid w:val="009226F1"/>
    <w:rsid w:val="00925438"/>
    <w:rsid w:val="0093269F"/>
    <w:rsid w:val="009436D9"/>
    <w:rsid w:val="0098669E"/>
    <w:rsid w:val="00995CA7"/>
    <w:rsid w:val="00996F85"/>
    <w:rsid w:val="009D5089"/>
    <w:rsid w:val="00A01C22"/>
    <w:rsid w:val="00A30351"/>
    <w:rsid w:val="00A628A2"/>
    <w:rsid w:val="00A76A29"/>
    <w:rsid w:val="00AC7021"/>
    <w:rsid w:val="00AD098B"/>
    <w:rsid w:val="00AF6D7F"/>
    <w:rsid w:val="00B017C8"/>
    <w:rsid w:val="00B216D8"/>
    <w:rsid w:val="00B51362"/>
    <w:rsid w:val="00B769B1"/>
    <w:rsid w:val="00B83C70"/>
    <w:rsid w:val="00BA3684"/>
    <w:rsid w:val="00BB0726"/>
    <w:rsid w:val="00BB6462"/>
    <w:rsid w:val="00BE1B48"/>
    <w:rsid w:val="00BF2E34"/>
    <w:rsid w:val="00C344BC"/>
    <w:rsid w:val="00C376F7"/>
    <w:rsid w:val="00C47F95"/>
    <w:rsid w:val="00C62B9B"/>
    <w:rsid w:val="00C72E38"/>
    <w:rsid w:val="00C76D71"/>
    <w:rsid w:val="00C80912"/>
    <w:rsid w:val="00C93E9E"/>
    <w:rsid w:val="00CB4578"/>
    <w:rsid w:val="00CD1E0D"/>
    <w:rsid w:val="00D1166C"/>
    <w:rsid w:val="00D1255B"/>
    <w:rsid w:val="00D50155"/>
    <w:rsid w:val="00D548EE"/>
    <w:rsid w:val="00D7141E"/>
    <w:rsid w:val="00D842D8"/>
    <w:rsid w:val="00D95557"/>
    <w:rsid w:val="00DA27F6"/>
    <w:rsid w:val="00DA6C3D"/>
    <w:rsid w:val="00DB5269"/>
    <w:rsid w:val="00DD409F"/>
    <w:rsid w:val="00E005DA"/>
    <w:rsid w:val="00E01953"/>
    <w:rsid w:val="00E01DCF"/>
    <w:rsid w:val="00E229CF"/>
    <w:rsid w:val="00E43808"/>
    <w:rsid w:val="00E47110"/>
    <w:rsid w:val="00E51BDE"/>
    <w:rsid w:val="00E7133A"/>
    <w:rsid w:val="00E7563F"/>
    <w:rsid w:val="00E817DA"/>
    <w:rsid w:val="00E96D30"/>
    <w:rsid w:val="00EC003B"/>
    <w:rsid w:val="00EC2A89"/>
    <w:rsid w:val="00ED1D74"/>
    <w:rsid w:val="00EE515E"/>
    <w:rsid w:val="00EF4900"/>
    <w:rsid w:val="00F13C3C"/>
    <w:rsid w:val="00F23A27"/>
    <w:rsid w:val="00F5399E"/>
    <w:rsid w:val="00F55147"/>
    <w:rsid w:val="00F600BE"/>
    <w:rsid w:val="00F635D2"/>
    <w:rsid w:val="00F82C28"/>
    <w:rsid w:val="00F9314C"/>
    <w:rsid w:val="00F953EF"/>
    <w:rsid w:val="00FA3B14"/>
    <w:rsid w:val="00FA4F00"/>
    <w:rsid w:val="00FB0384"/>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492B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92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24612">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046CC-72E9-4876-BF25-415B73E2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672</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11</cp:revision>
  <cp:lastPrinted>2019-11-18T13:40:00Z</cp:lastPrinted>
  <dcterms:created xsi:type="dcterms:W3CDTF">2022-04-20T14:13:00Z</dcterms:created>
  <dcterms:modified xsi:type="dcterms:W3CDTF">2022-11-25T10:05:00Z</dcterms:modified>
</cp:coreProperties>
</file>