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0EB2" w14:textId="1793A02E" w:rsidR="00102CAF" w:rsidRPr="00326FA1" w:rsidRDefault="00C76D71" w:rsidP="00833751">
      <w:pPr>
        <w:spacing w:before="240"/>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25</w:t>
      </w:r>
      <w:r w:rsidR="00326FA1">
        <w:rPr>
          <w:b/>
          <w:bCs/>
          <w:sz w:val="24"/>
          <w:szCs w:val="24"/>
        </w:rPr>
        <w:t>:</w:t>
      </w:r>
      <w:r>
        <w:rPr>
          <w:b/>
          <w:bCs/>
          <w:sz w:val="24"/>
          <w:szCs w:val="24"/>
        </w:rPr>
        <w:t xml:space="preserve"> </w:t>
      </w:r>
      <w:r w:rsidR="00E51BDE" w:rsidRPr="00326FA1">
        <w:rPr>
          <w:b/>
          <w:bCs/>
          <w:sz w:val="24"/>
          <w:szCs w:val="24"/>
        </w:rPr>
        <w:t>steun</w:t>
      </w:r>
      <w:r w:rsidR="00102CAF" w:rsidRPr="00326FA1">
        <w:rPr>
          <w:b/>
          <w:bCs/>
          <w:sz w:val="24"/>
          <w:szCs w:val="24"/>
        </w:rPr>
        <w:t xml:space="preserve"> </w:t>
      </w:r>
      <w:r w:rsidR="00E51BDE" w:rsidRPr="00326FA1">
        <w:rPr>
          <w:b/>
          <w:bCs/>
          <w:sz w:val="24"/>
          <w:szCs w:val="24"/>
        </w:rPr>
        <w:t>voor onderzoeks- en ontwikkelingsprojecten</w:t>
      </w:r>
    </w:p>
    <w:p w14:paraId="3FF7DFCC" w14:textId="58F9BA3F" w:rsidR="00102CAF" w:rsidRDefault="00102CAF" w:rsidP="00102CAF"/>
    <w:p w14:paraId="0B4B2FA9" w14:textId="12DA64EC"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49B6C209" w:rsidR="00C47F95" w:rsidRPr="00495FA1" w:rsidRDefault="00ED1D74" w:rsidP="00177B46">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E03C4A">
        <w:rPr>
          <w:rStyle w:val="Voetnootmarkering"/>
        </w:rPr>
        <w:footnoteReference w:id="2"/>
      </w:r>
      <w:r w:rsidR="00C47F95" w:rsidRPr="00495FA1">
        <w:t xml:space="preserve"> </w:t>
      </w:r>
    </w:p>
    <w:p w14:paraId="1D364D53" w14:textId="20441066" w:rsidR="00C47F95" w:rsidRPr="00495FA1" w:rsidRDefault="00C47F95" w:rsidP="00177B46">
      <w:pPr>
        <w:jc w:val="both"/>
      </w:pPr>
    </w:p>
    <w:p w14:paraId="47B58FAF" w14:textId="50408B29" w:rsidR="00177B46" w:rsidRDefault="00622124" w:rsidP="00177B46">
      <w:pPr>
        <w:jc w:val="both"/>
      </w:pPr>
      <w:r w:rsidRPr="00495FA1">
        <w:t>Eén van de artikelen die gebruikt k</w:t>
      </w:r>
      <w:r w:rsidR="00495FA1">
        <w:t>an</w:t>
      </w:r>
      <w:r w:rsidRPr="00495FA1">
        <w:t xml:space="preserve"> worden is artikel 25. Dit artikel gaat over steun voor onderzoek, ontwikkeling en innovatie</w:t>
      </w:r>
      <w:r w:rsidR="00177B46">
        <w:t>.</w:t>
      </w:r>
    </w:p>
    <w:p w14:paraId="6D35C4F9" w14:textId="1B5613C1" w:rsidR="00495FA1" w:rsidRDefault="00622124" w:rsidP="00177B46">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artikel 25</w:t>
      </w:r>
      <w:r w:rsidR="00F82C28" w:rsidRPr="00495FA1">
        <w:t>,</w:t>
      </w:r>
      <w:r w:rsidRPr="00495FA1">
        <w:t xml:space="preserve"> aan te geven waarom het project voldoet aan de gestelde voorwaarden. </w:t>
      </w:r>
      <w:r>
        <w:br/>
      </w:r>
    </w:p>
    <w:p w14:paraId="6E35E2C8" w14:textId="03E17FA8" w:rsidR="00622124" w:rsidRDefault="00495FA1" w:rsidP="00177B46">
      <w:pPr>
        <w:jc w:val="both"/>
      </w:pPr>
      <w:r>
        <w:t xml:space="preserve">Let op: u geeft een toelichting in de tekstblokken. </w:t>
      </w:r>
      <w:r w:rsidR="00622124">
        <w:t xml:space="preserve"> </w:t>
      </w:r>
    </w:p>
    <w:bookmarkEnd w:id="1"/>
    <w:p w14:paraId="071FD143" w14:textId="77777777" w:rsidR="00495FA1" w:rsidRDefault="00495FA1" w:rsidP="00177B46">
      <w:pPr>
        <w:jc w:val="both"/>
      </w:pPr>
    </w:p>
    <w:p w14:paraId="6DD0FC3E" w14:textId="77777777" w:rsidR="00495FA1" w:rsidRDefault="00495FA1" w:rsidP="00177B46">
      <w:pPr>
        <w:jc w:val="both"/>
        <w:rPr>
          <w:b/>
          <w:bCs/>
          <w:i/>
          <w:iCs/>
        </w:rPr>
      </w:pPr>
    </w:p>
    <w:p w14:paraId="187535AB" w14:textId="77777777" w:rsidR="00177B46" w:rsidRDefault="00F82C28" w:rsidP="00177B46">
      <w:pPr>
        <w:jc w:val="both"/>
        <w:rPr>
          <w:b/>
          <w:bCs/>
          <w:i/>
          <w:iCs/>
          <w:u w:val="single"/>
        </w:rPr>
      </w:pPr>
      <w:bookmarkStart w:id="5" w:name="_Hlk87387140"/>
      <w:r w:rsidRPr="00326FA1">
        <w:rPr>
          <w:b/>
          <w:bCs/>
          <w:i/>
          <w:iCs/>
          <w:u w:val="single"/>
        </w:rPr>
        <w:t>Art 25, lid 1:</w:t>
      </w:r>
      <w:bookmarkEnd w:id="5"/>
    </w:p>
    <w:p w14:paraId="2BC05103" w14:textId="6398938C" w:rsidR="00ED1D74" w:rsidRPr="00F82C28" w:rsidRDefault="00F82C28" w:rsidP="00177B46">
      <w:pPr>
        <w:jc w:val="both"/>
        <w:rPr>
          <w:i/>
          <w:iCs/>
        </w:rPr>
      </w:pPr>
      <w:r w:rsidRPr="00F82C28">
        <w:rPr>
          <w:i/>
          <w:iCs/>
        </w:rPr>
        <w:t>Steun voor onderzoeks- en ontwikkelingsprojecten is verenigbaar met de interne markt in de zin van artikel 107, lid 3, van het Verdrag en is van de aanmeldingsverplichting van artikel 108, lid 3, van het Verdrag vrijgesteld, mits de in dit artikel en in hoofdstuk I vastgestelde voorwaarden zijn vervuld.</w:t>
      </w:r>
    </w:p>
    <w:p w14:paraId="6D8A49D4" w14:textId="6DAAA31E" w:rsidR="00F82C28" w:rsidRDefault="00F82C28" w:rsidP="00177B46">
      <w:pPr>
        <w:jc w:val="both"/>
      </w:pPr>
    </w:p>
    <w:p w14:paraId="350E1B6C" w14:textId="6007A02E" w:rsidR="00F635D2" w:rsidRDefault="00F635D2" w:rsidP="00177B46">
      <w:pPr>
        <w:jc w:val="both"/>
      </w:pPr>
      <w:bookmarkStart w:id="6" w:name="_Hlk87387169"/>
      <w:r>
        <w:t>Inleidend lid, geen toelichting nodig</w:t>
      </w:r>
    </w:p>
    <w:bookmarkEnd w:id="6"/>
    <w:p w14:paraId="464098F4" w14:textId="793EBFDE" w:rsidR="00F635D2" w:rsidRDefault="00F635D2" w:rsidP="00177B46">
      <w:pPr>
        <w:jc w:val="both"/>
      </w:pPr>
    </w:p>
    <w:p w14:paraId="36336037" w14:textId="77777777" w:rsidR="00F82C28" w:rsidRDefault="00F82C28" w:rsidP="00177B46">
      <w:pPr>
        <w:jc w:val="both"/>
        <w:rPr>
          <w:i/>
          <w:iCs/>
        </w:rPr>
      </w:pPr>
    </w:p>
    <w:p w14:paraId="01A3638A" w14:textId="77777777" w:rsidR="00177B46" w:rsidRDefault="00F82C28" w:rsidP="00177B46">
      <w:pPr>
        <w:jc w:val="both"/>
        <w:rPr>
          <w:b/>
          <w:bCs/>
          <w:i/>
          <w:iCs/>
          <w:u w:val="single"/>
        </w:rPr>
      </w:pPr>
      <w:r w:rsidRPr="00326FA1">
        <w:rPr>
          <w:b/>
          <w:bCs/>
          <w:i/>
          <w:iCs/>
          <w:u w:val="single"/>
        </w:rPr>
        <w:t xml:space="preserve">Art. 25, lid </w:t>
      </w:r>
      <w:r w:rsidR="00102CAF" w:rsidRPr="00326FA1">
        <w:rPr>
          <w:b/>
          <w:bCs/>
          <w:i/>
          <w:iCs/>
          <w:u w:val="single"/>
        </w:rPr>
        <w:t>2</w:t>
      </w:r>
      <w:r w:rsidRPr="00326FA1">
        <w:rPr>
          <w:b/>
          <w:bCs/>
          <w:i/>
          <w:iCs/>
          <w:u w:val="single"/>
        </w:rPr>
        <w:t>:</w:t>
      </w:r>
    </w:p>
    <w:p w14:paraId="6290E4B4" w14:textId="742E47D2" w:rsidR="00EC003B" w:rsidRDefault="00EC003B" w:rsidP="00177B46">
      <w:pPr>
        <w:jc w:val="both"/>
        <w:rPr>
          <w:i/>
          <w:iCs/>
        </w:rPr>
      </w:pPr>
      <w:r w:rsidRPr="00EC003B">
        <w:rPr>
          <w:i/>
          <w:iCs/>
        </w:rPr>
        <w:t xml:space="preserve">Het gesteunde deel van het onderzoeks- en ontwikkelingsproject valt volledig binnen </w:t>
      </w:r>
      <w:r w:rsidR="00157BCE">
        <w:rPr>
          <w:i/>
          <w:iCs/>
        </w:rPr>
        <w:t xml:space="preserve">[ ….] </w:t>
      </w:r>
      <w:r w:rsidRPr="00EC003B">
        <w:rPr>
          <w:i/>
          <w:iCs/>
        </w:rPr>
        <w:t xml:space="preserve"> de volgende categorie:</w:t>
      </w:r>
    </w:p>
    <w:p w14:paraId="203DEE97" w14:textId="77777777" w:rsidR="00177B46" w:rsidRDefault="00177B46" w:rsidP="00177B46">
      <w:pPr>
        <w:jc w:val="both"/>
        <w:rPr>
          <w:i/>
          <w:iCs/>
        </w:rPr>
      </w:pPr>
    </w:p>
    <w:p w14:paraId="54A5438B" w14:textId="77777777" w:rsidR="00177B46" w:rsidRDefault="00177B46" w:rsidP="00177B46">
      <w:pPr>
        <w:jc w:val="both"/>
        <w:rPr>
          <w:i/>
          <w:iCs/>
        </w:rPr>
      </w:pPr>
      <w:r w:rsidRPr="00177B46">
        <w:rPr>
          <w:i/>
          <w:iCs/>
        </w:rPr>
        <w:t>b) industrieel onderzoek;</w:t>
      </w:r>
    </w:p>
    <w:p w14:paraId="23F9EA57" w14:textId="631D1C90" w:rsidR="00177B46" w:rsidRDefault="00177B46" w:rsidP="00177B46">
      <w:pPr>
        <w:jc w:val="both"/>
        <w:rPr>
          <w:i/>
          <w:iCs/>
        </w:rPr>
      </w:pPr>
    </w:p>
    <w:p w14:paraId="706AAF63" w14:textId="6BEF3C13" w:rsidR="00177B46" w:rsidRDefault="00EC003B" w:rsidP="00177B46">
      <w:pPr>
        <w:jc w:val="both"/>
        <w:rPr>
          <w:i/>
          <w:iCs/>
        </w:rPr>
      </w:pPr>
      <w:r w:rsidRPr="00EC003B">
        <w:rPr>
          <w:i/>
          <w:iCs/>
        </w:rPr>
        <w:t>c) experimentele ontwikkeling</w:t>
      </w:r>
      <w:r w:rsidR="00177B46">
        <w:rPr>
          <w:i/>
          <w:iCs/>
        </w:rPr>
        <w:t>;</w:t>
      </w:r>
    </w:p>
    <w:p w14:paraId="49DCDE4B" w14:textId="3948AC9A" w:rsidR="00177B46" w:rsidRDefault="00177B46" w:rsidP="00177B46">
      <w:pPr>
        <w:jc w:val="both"/>
        <w:rPr>
          <w:i/>
          <w:iCs/>
        </w:rPr>
      </w:pPr>
    </w:p>
    <w:p w14:paraId="3412631E" w14:textId="53E08C14" w:rsidR="00177B46" w:rsidRDefault="00177B46" w:rsidP="00177B46">
      <w:pPr>
        <w:jc w:val="both"/>
        <w:rPr>
          <w:i/>
          <w:iCs/>
        </w:rPr>
      </w:pPr>
      <w:r>
        <w:rPr>
          <w:i/>
          <w:iCs/>
        </w:rPr>
        <w:t>d) haalbaarheidsstudies.</w:t>
      </w:r>
    </w:p>
    <w:p w14:paraId="7DE04756" w14:textId="77777777" w:rsidR="00495FA1" w:rsidRDefault="00495FA1" w:rsidP="00177B46">
      <w:pPr>
        <w:jc w:val="both"/>
        <w:rPr>
          <w:b/>
          <w:bCs/>
        </w:rPr>
      </w:pPr>
    </w:p>
    <w:p w14:paraId="3C07CAF0" w14:textId="56BB967A" w:rsidR="00304109" w:rsidRDefault="00102CAF" w:rsidP="00177B46">
      <w:pPr>
        <w:jc w:val="both"/>
      </w:pPr>
      <w:r w:rsidRPr="00BB0726">
        <w:rPr>
          <w:b/>
          <w:bCs/>
        </w:rPr>
        <w:t>Toelichting</w:t>
      </w:r>
      <w:r>
        <w:t xml:space="preserve">: </w:t>
      </w:r>
      <w:r w:rsidR="00BE1B48">
        <w:br/>
      </w:r>
      <w:r w:rsidR="00177B46" w:rsidRPr="00177B46">
        <w:rPr>
          <w:i/>
          <w:iCs/>
        </w:rPr>
        <w:t>Experimentele ontwikkeling</w:t>
      </w:r>
      <w:r w:rsidR="00304109">
        <w:t>:</w:t>
      </w:r>
      <w:r w:rsidR="00495FA1">
        <w:t xml:space="preserve"> </w:t>
      </w:r>
      <w:r w:rsidR="00304109">
        <w:t>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alternatieve producten, procedés of diensten.</w:t>
      </w:r>
    </w:p>
    <w:p w14:paraId="12012A6A" w14:textId="77777777" w:rsidR="00304109" w:rsidRDefault="00304109" w:rsidP="00304109"/>
    <w:p w14:paraId="51C4D416" w14:textId="77777777" w:rsidR="00304109" w:rsidRDefault="00304109" w:rsidP="00177B46">
      <w:pPr>
        <w:jc w:val="both"/>
      </w:pPr>
      <w:r>
        <w:t xml:space="preserve">Experimentele ontwikkeling kan prototyping, demonstraties, pilotontwikkeling, testen en validatie omvatten van nieuwe of verbeterde producten, procedés of diensten in omgevingen </w:t>
      </w:r>
      <w:r>
        <w:lastRenderedPageBreak/>
        <w:t>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070936F3" w14:textId="77777777" w:rsidR="00304109" w:rsidRDefault="00304109" w:rsidP="00177B46">
      <w:pPr>
        <w:jc w:val="both"/>
      </w:pPr>
    </w:p>
    <w:p w14:paraId="6148AC53" w14:textId="7588A627" w:rsidR="00304109" w:rsidRDefault="00304109" w:rsidP="00177B46">
      <w:pPr>
        <w:jc w:val="both"/>
      </w:pPr>
      <w:r>
        <w:t>Onder experimentele ontwikkeling wordt niet verstaan routinematige of periodieke wijziging van bestaande producten, productielijnen, fabricageprocessen, diensten en andere courante activiteiten, zelfs indien die wijzigingen verbeteringen kunnen inhouden;</w:t>
      </w:r>
    </w:p>
    <w:p w14:paraId="165B0C39" w14:textId="3DF0A978" w:rsidR="00177B46" w:rsidRDefault="00177B46" w:rsidP="00177B46">
      <w:pPr>
        <w:jc w:val="both"/>
      </w:pPr>
    </w:p>
    <w:p w14:paraId="769E72C7" w14:textId="72A6CB0E" w:rsidR="00177B46" w:rsidRPr="00177B46" w:rsidRDefault="00177B46" w:rsidP="00177B46">
      <w:pPr>
        <w:jc w:val="both"/>
      </w:pPr>
      <w:r>
        <w:rPr>
          <w:i/>
          <w:iCs/>
        </w:rPr>
        <w:t xml:space="preserve">Industrieel onderzoek: </w:t>
      </w:r>
      <w:r w:rsidRPr="00177B46">
        <w:t>planmatig of kritisch onderzoek</w:t>
      </w:r>
      <w:r>
        <w:t xml:space="preserve"> </w:t>
      </w:r>
      <w:r w:rsidRPr="00177B46">
        <w:t>dat is gericht op het opdoen van nieuwe kennis en vaardigheden met het oog op de ontwikkeling van nieuwe producten, procedés of diensten, of om bestaande producten, procedés of diensten aanmerkelijk te verbeteren. Het omvat de</w:t>
      </w:r>
      <w:r>
        <w:t xml:space="preserve"> </w:t>
      </w:r>
      <w:r w:rsidRPr="00177B46">
        <w:t>creatie van onderdelen voor complexe systemen en kan ook</w:t>
      </w:r>
      <w:r>
        <w:t xml:space="preserve"> </w:t>
      </w:r>
      <w:r w:rsidRPr="00177B46">
        <w:t>de bouw omvatten van prototypes in een laboratoriumomgeving en/of in een omgeving met gesimuleerde interfaces</w:t>
      </w:r>
    </w:p>
    <w:p w14:paraId="54A2345D" w14:textId="6EA22064" w:rsidR="00177B46" w:rsidRDefault="00177B46" w:rsidP="00177B46">
      <w:pPr>
        <w:jc w:val="both"/>
      </w:pPr>
      <w:r w:rsidRPr="00177B46">
        <w:t>voor bestaande systemen, alsmede pilotlijnen, wanneer dat</w:t>
      </w:r>
      <w:r>
        <w:t xml:space="preserve"> </w:t>
      </w:r>
      <w:r w:rsidRPr="00177B46">
        <w:t>nodig is voor het industriële onderzoek en met name voor</w:t>
      </w:r>
      <w:r>
        <w:t xml:space="preserve"> </w:t>
      </w:r>
      <w:r w:rsidRPr="00177B46">
        <w:t>de validering van generieke technologie;</w:t>
      </w:r>
    </w:p>
    <w:p w14:paraId="5CC18CF2" w14:textId="0848FA0E" w:rsidR="00177B46" w:rsidRDefault="00177B46" w:rsidP="00177B46">
      <w:pPr>
        <w:jc w:val="both"/>
      </w:pPr>
    </w:p>
    <w:p w14:paraId="72ADB244" w14:textId="4EF33E5B" w:rsidR="00177B46" w:rsidRPr="00B36B9C" w:rsidRDefault="00177B46" w:rsidP="00B36B9C">
      <w:pPr>
        <w:jc w:val="both"/>
      </w:pPr>
      <w:r>
        <w:rPr>
          <w:i/>
          <w:iCs/>
        </w:rPr>
        <w:t xml:space="preserve">Haalbaarheidsstudie: </w:t>
      </w:r>
      <w:r w:rsidR="00B36B9C" w:rsidRPr="00B36B9C">
        <w:t>het onderzoek en de analyse van het</w:t>
      </w:r>
      <w:r w:rsidR="00B36B9C">
        <w:t xml:space="preserve"> </w:t>
      </w:r>
      <w:r w:rsidR="00B36B9C" w:rsidRPr="00B36B9C">
        <w:t>potentieel van een project, met als doel de besluitvorming</w:t>
      </w:r>
      <w:r w:rsidR="00B36B9C">
        <w:t xml:space="preserve"> </w:t>
      </w:r>
      <w:r w:rsidR="00B36B9C" w:rsidRPr="00B36B9C">
        <w:t>te ondersteunen door objectief en rationeel de sterke en de</w:t>
      </w:r>
      <w:r w:rsidR="00B36B9C">
        <w:t xml:space="preserve"> </w:t>
      </w:r>
      <w:r w:rsidR="00B36B9C" w:rsidRPr="00B36B9C">
        <w:t>zwakke punten van een project, de kansen en risico</w:t>
      </w:r>
      <w:r w:rsidR="00B36B9C">
        <w:t>’</w:t>
      </w:r>
      <w:r w:rsidR="00B36B9C" w:rsidRPr="00B36B9C">
        <w:t>s in</w:t>
      </w:r>
      <w:r w:rsidR="00B36B9C">
        <w:t xml:space="preserve"> </w:t>
      </w:r>
      <w:r w:rsidR="00B36B9C" w:rsidRPr="00B36B9C">
        <w:t>kaart te brengen, waarbij ook wordt aangegeven welke middelen nodig zijn om het project te kunnen doorvoeren en</w:t>
      </w:r>
      <w:r w:rsidR="00B36B9C">
        <w:t xml:space="preserve"> </w:t>
      </w:r>
      <w:r w:rsidR="00B36B9C" w:rsidRPr="00B36B9C">
        <w:t>wat uiteindelijk de slaagkansen zijn</w:t>
      </w:r>
      <w:r w:rsidR="00B36B9C">
        <w:t>.</w:t>
      </w:r>
    </w:p>
    <w:p w14:paraId="569872B3" w14:textId="316225FF" w:rsidR="00BE1B48" w:rsidRDefault="00BE1B48" w:rsidP="00102CAF">
      <w:r>
        <w:rPr>
          <w:noProof/>
          <w:lang w:eastAsia="nl-NL"/>
        </w:rPr>
        <mc:AlternateContent>
          <mc:Choice Requires="wps">
            <w:drawing>
              <wp:anchor distT="45720" distB="45720" distL="114300" distR="114300" simplePos="0" relativeHeight="251661312" behindDoc="0" locked="0" layoutInCell="1" allowOverlap="1" wp14:anchorId="1D586F0C" wp14:editId="64A8D6C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86F0C" id="_x0000_t202" coordsize="21600,21600" o:spt="202" path="m,l,21600r21600,l21600,xe">
                <v:stroke joinstyle="miter"/>
                <v:path gradientshapeok="t" o:connecttype="rect"/>
              </v:shapetype>
              <v:shape id="Tekstvak 2" o:spid="_x0000_s1026" type="#_x0000_t202" style="position:absolute;margin-left:0;margin-top:17.9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rRgd&#10;SdwAAAAHAQAADwAAAAAAAAAAAAAAAABqBAAAZHJzL2Rvd25yZXYueG1sUEsFBgAAAAAEAAQA8wAA&#10;AHMFAAAAAA==&#10;">
                <v:textbox style="mso-fit-shape-to-text:t">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v:textbox>
                <w10:wrap type="topAndBottom" anchorx="margin"/>
              </v:shape>
            </w:pict>
          </mc:Fallback>
        </mc:AlternateContent>
      </w:r>
    </w:p>
    <w:p w14:paraId="5D22A869" w14:textId="6C12B700" w:rsidR="00C62B9B" w:rsidRDefault="00C62B9B" w:rsidP="00C62B9B"/>
    <w:p w14:paraId="0E197716" w14:textId="77777777" w:rsidR="00102CAF" w:rsidRDefault="00102CAF" w:rsidP="00102CAF"/>
    <w:p w14:paraId="364B5F7A" w14:textId="77777777" w:rsidR="00B36B9C" w:rsidRDefault="002A62AB" w:rsidP="00B36B9C">
      <w:pPr>
        <w:jc w:val="both"/>
        <w:rPr>
          <w:b/>
          <w:bCs/>
          <w:i/>
          <w:iCs/>
          <w:u w:val="single"/>
        </w:rPr>
      </w:pPr>
      <w:r w:rsidRPr="00326FA1">
        <w:rPr>
          <w:b/>
          <w:bCs/>
          <w:i/>
          <w:iCs/>
          <w:u w:val="single"/>
        </w:rPr>
        <w:t>Art. 25</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7E62B81B" w14:textId="049AA04B" w:rsidR="00102CAF" w:rsidRDefault="00EC003B" w:rsidP="00B36B9C">
      <w:pPr>
        <w:jc w:val="both"/>
        <w:rPr>
          <w:i/>
          <w:iCs/>
        </w:rPr>
      </w:pPr>
      <w:r w:rsidRPr="00EC003B">
        <w:rPr>
          <w:i/>
          <w:iCs/>
        </w:rPr>
        <w:t>De in aanmerking komende kosten van onderzoeks- en ontwikkelingsprojecten worden bij een specifieke categorie onderzoek en ontwikkeling ingedeeld en betreffen:</w:t>
      </w:r>
    </w:p>
    <w:p w14:paraId="7C59279D" w14:textId="4828ED40" w:rsidR="00EC003B" w:rsidRPr="00EC003B" w:rsidRDefault="00BF2E34" w:rsidP="00B36B9C">
      <w:pPr>
        <w:jc w:val="both"/>
        <w:rPr>
          <w:i/>
          <w:iCs/>
        </w:rPr>
      </w:pPr>
      <w:r>
        <w:rPr>
          <w:i/>
          <w:iCs/>
        </w:rPr>
        <w:br/>
      </w:r>
      <w:r w:rsidR="00EC003B" w:rsidRPr="00EC003B">
        <w:rPr>
          <w:i/>
          <w:iCs/>
        </w:rPr>
        <w:t>a) personeelskosten: onderzoekers, technici en ander ondersteunend personeel voor zover zij zich met het onderzoeksproject bezighouden;</w:t>
      </w:r>
    </w:p>
    <w:p w14:paraId="25E59C2D" w14:textId="77777777" w:rsidR="00B36B9C" w:rsidRDefault="00B36B9C" w:rsidP="00B36B9C">
      <w:pPr>
        <w:jc w:val="both"/>
        <w:rPr>
          <w:i/>
          <w:iCs/>
        </w:rPr>
      </w:pPr>
    </w:p>
    <w:p w14:paraId="03519E50" w14:textId="3B040FF9" w:rsidR="00EC003B" w:rsidRPr="00EC003B" w:rsidRDefault="00EC003B" w:rsidP="00B36B9C">
      <w:pPr>
        <w:jc w:val="both"/>
        <w:rPr>
          <w:i/>
          <w:iCs/>
        </w:rPr>
      </w:pPr>
      <w:r w:rsidRPr="00EC003B">
        <w:rPr>
          <w:i/>
          <w:iCs/>
        </w:rPr>
        <w:t>b) kosten van apparatuur en uitrusting voor zover en zolang zij worden gebruikt voor het project. Wanneer deze apparatuur en uitrusting niet tijdens hun volledige levensduur voor het project worden gebruikt, worden alleen de afschrijvingskosten overeenstemmend met de looptijd van het project, berekend volgens algemeen erkende boekhoudkundige beginselen, als in aanmerking komende kosten beschouwd;</w:t>
      </w:r>
    </w:p>
    <w:p w14:paraId="7DD1F52F" w14:textId="77777777" w:rsidR="00B36B9C" w:rsidRDefault="00B36B9C" w:rsidP="00B36B9C">
      <w:pPr>
        <w:jc w:val="both"/>
        <w:rPr>
          <w:i/>
          <w:iCs/>
        </w:rPr>
      </w:pPr>
    </w:p>
    <w:p w14:paraId="6D33024E" w14:textId="74A52038" w:rsidR="00EC003B" w:rsidRPr="00EC003B" w:rsidRDefault="00EC003B" w:rsidP="00B36B9C">
      <w:pPr>
        <w:jc w:val="both"/>
        <w:rPr>
          <w:i/>
          <w:iCs/>
        </w:rPr>
      </w:pPr>
      <w:r w:rsidRPr="00EC003B">
        <w:rPr>
          <w:i/>
          <w:iCs/>
        </w:rPr>
        <w:lastRenderedPageBreak/>
        <w:t>c) kosten van gebouwen en gronden voor zover en zolang zij worden gebruikt voor het project. Wat gebouwen betreft, worden alleen de afschrijvingskosten overeenstemmend met de looptijd van het project, berekend volgens algemeen erkende boekhoudkundige beginselen, als in aanmerking komende kosten beschouwd. Wat gronden betreft, komen de kosten voor de commerciële overdracht of de daadwerkelijk gemaakte kapitaalkosten in aanmerking;</w:t>
      </w:r>
    </w:p>
    <w:p w14:paraId="7F2C6F06" w14:textId="77777777" w:rsidR="00B36B9C" w:rsidRDefault="00B36B9C" w:rsidP="00B36B9C">
      <w:pPr>
        <w:jc w:val="both"/>
        <w:rPr>
          <w:i/>
          <w:iCs/>
        </w:rPr>
      </w:pPr>
    </w:p>
    <w:p w14:paraId="58EC60B9" w14:textId="7AB7FB31" w:rsidR="00EC003B" w:rsidRPr="00EC003B" w:rsidRDefault="00EC003B" w:rsidP="00B36B9C">
      <w:pPr>
        <w:jc w:val="both"/>
        <w:rPr>
          <w:i/>
          <w:iCs/>
        </w:rPr>
      </w:pPr>
      <w:r w:rsidRPr="00EC003B">
        <w:rPr>
          <w:i/>
          <w:iCs/>
        </w:rPr>
        <w:t>d) kosten van contractonderzoek, kennis en octrooien die op arm's length-voorwaarden worden gekocht bij of waarvoor een licentie wordt verleend door externe bronnen, alsmede kosten voor consultancy en gelijkwaardige diensten die uitsluitend voor het project worden gebruikt;</w:t>
      </w:r>
    </w:p>
    <w:p w14:paraId="7633CC97" w14:textId="77777777" w:rsidR="00B36B9C" w:rsidRDefault="00B36B9C" w:rsidP="00EC003B">
      <w:pPr>
        <w:rPr>
          <w:i/>
          <w:iCs/>
        </w:rPr>
      </w:pPr>
    </w:p>
    <w:p w14:paraId="77057C48" w14:textId="66AC2C7E" w:rsidR="00EC003B" w:rsidRPr="00EC003B" w:rsidRDefault="00EC003B" w:rsidP="00B36B9C">
      <w:pPr>
        <w:jc w:val="both"/>
        <w:rPr>
          <w:i/>
          <w:iCs/>
        </w:rPr>
      </w:pPr>
      <w:r w:rsidRPr="00EC003B">
        <w:rPr>
          <w:i/>
          <w:iCs/>
        </w:rPr>
        <w:t>e) bijkomende algemene kosten en andere operationele uitgaven, waaronder die voor materiaal, leveranties en dergelijke producten, die rechtstreeks uit het project voortvloeien.</w:t>
      </w:r>
    </w:p>
    <w:p w14:paraId="0A4FC95E" w14:textId="6C7AF634" w:rsidR="008C4B99" w:rsidRDefault="008C4B99" w:rsidP="00102CAF"/>
    <w:p w14:paraId="58497301" w14:textId="45213458" w:rsidR="0047090C" w:rsidRDefault="0047090C" w:rsidP="00B36B9C">
      <w:pPr>
        <w:jc w:val="both"/>
      </w:pPr>
      <w:r w:rsidRPr="00BB0726">
        <w:rPr>
          <w:b/>
          <w:bCs/>
        </w:rPr>
        <w:t>Toelichting</w:t>
      </w:r>
      <w:r>
        <w:t xml:space="preserve">: </w:t>
      </w:r>
      <w:r w:rsidR="00495FA1">
        <w:br/>
      </w:r>
      <w:r>
        <w:t xml:space="preserve">We ontvangen graag een toelichting op de kosten </w:t>
      </w:r>
      <w:r w:rsidR="002A62AB">
        <w:t>die in het project worden opgevoerd. Met name van belang zijn de kosten voor ‘apparatuur en uitrusting’</w:t>
      </w:r>
      <w:r w:rsidR="00650DB0">
        <w:t>. A</w:t>
      </w:r>
      <w:r>
        <w:t xml:space="preserve">ls </w:t>
      </w:r>
      <w:r w:rsidR="002A62AB">
        <w:t>deze niet tijdens hun volledige levensduur voor het project worden gebruikt</w:t>
      </w:r>
      <w:r w:rsidR="00B36B9C">
        <w:t>,</w:t>
      </w:r>
      <w:r w:rsidR="002A62AB">
        <w:t xml:space="preserve"> dan worden deze kosten opgevoerd op basis van a</w:t>
      </w:r>
      <w:r>
        <w:t>fschrijvingskosten</w:t>
      </w:r>
      <w:r w:rsidR="002A62AB">
        <w:t xml:space="preserve">. Licht in dat geval </w:t>
      </w:r>
      <w:r w:rsidR="00650DB0">
        <w:t>toe hoe</w:t>
      </w:r>
      <w:r w:rsidR="00BF2E34">
        <w:t xml:space="preserve"> u </w:t>
      </w:r>
      <w:r w:rsidR="00650DB0">
        <w:t xml:space="preserve">tot de afschrijvingsduur bent gekomen. Als de investeringen volledig worden opgevoerd, maak dan aannemelijk dat de (economische) levensduur gelijk is aan de projectperiode. </w:t>
      </w:r>
      <w:r>
        <w:t xml:space="preserve"> </w:t>
      </w:r>
    </w:p>
    <w:p w14:paraId="0F5592B6" w14:textId="6DE8CBE2" w:rsidR="002A62AB" w:rsidRDefault="002A62AB" w:rsidP="00E7133A">
      <w:pPr>
        <w:rPr>
          <w:b/>
          <w:bCs/>
        </w:rPr>
      </w:pPr>
      <w:r>
        <w:rPr>
          <w:noProof/>
          <w:lang w:eastAsia="nl-NL"/>
        </w:rPr>
        <mc:AlternateContent>
          <mc:Choice Requires="wps">
            <w:drawing>
              <wp:anchor distT="45720" distB="45720" distL="114300" distR="114300" simplePos="0" relativeHeight="251663360" behindDoc="0" locked="0" layoutInCell="1" allowOverlap="1" wp14:anchorId="16E29151" wp14:editId="0CED9FC7">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_x0000_s1027" type="#_x0000_t202" style="position:absolute;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p>
    <w:p w14:paraId="443A6E55" w14:textId="71FCD84A" w:rsidR="00C72E38" w:rsidRDefault="00C72E38" w:rsidP="00102CAF"/>
    <w:p w14:paraId="0836B91D" w14:textId="77777777" w:rsidR="00B36B9C" w:rsidRDefault="00D1166C" w:rsidP="00102CAF">
      <w:pPr>
        <w:rPr>
          <w:b/>
          <w:bCs/>
          <w:i/>
          <w:iCs/>
          <w:u w:val="single"/>
        </w:rPr>
      </w:pPr>
      <w:r w:rsidRPr="00326FA1">
        <w:rPr>
          <w:b/>
          <w:bCs/>
          <w:i/>
          <w:iCs/>
          <w:u w:val="single"/>
        </w:rPr>
        <w:t xml:space="preserve">Art. 25, </w:t>
      </w:r>
      <w:r w:rsidR="00EC003B" w:rsidRPr="00326FA1">
        <w:rPr>
          <w:b/>
          <w:bCs/>
          <w:i/>
          <w:iCs/>
          <w:u w:val="single"/>
        </w:rPr>
        <w:t>lid 4</w:t>
      </w:r>
      <w:r w:rsidR="00B36B9C">
        <w:rPr>
          <w:b/>
          <w:bCs/>
          <w:i/>
          <w:iCs/>
          <w:u w:val="single"/>
        </w:rPr>
        <w:t>:</w:t>
      </w:r>
    </w:p>
    <w:p w14:paraId="315B37D8" w14:textId="77777777" w:rsidR="00E03C4A" w:rsidRDefault="00B36B9C" w:rsidP="00E03C4A">
      <w:pPr>
        <w:jc w:val="both"/>
        <w:rPr>
          <w:i/>
          <w:iCs/>
        </w:rPr>
      </w:pPr>
      <w:r w:rsidRPr="00B36B9C">
        <w:rPr>
          <w:i/>
          <w:iCs/>
        </w:rPr>
        <w:t>Bij haalbaarheidsstudies zijn de in aanmerking komende kosten de kosten van de studie.</w:t>
      </w:r>
    </w:p>
    <w:p w14:paraId="467A319A" w14:textId="58A0F170" w:rsidR="00EC003B" w:rsidRPr="00E03C4A" w:rsidRDefault="00D1166C" w:rsidP="00E03C4A">
      <w:pPr>
        <w:jc w:val="both"/>
        <w:rPr>
          <w:i/>
          <w:iCs/>
        </w:rPr>
      </w:pPr>
      <w:r w:rsidRPr="00B36B9C">
        <w:rPr>
          <w:i/>
          <w:iCs/>
        </w:rPr>
        <w:br/>
      </w:r>
      <w:r w:rsidR="00E03C4A">
        <w:rPr>
          <w:noProof/>
          <w:lang w:eastAsia="nl-NL"/>
        </w:rPr>
        <mc:AlternateContent>
          <mc:Choice Requires="wps">
            <w:drawing>
              <wp:anchor distT="45720" distB="45720" distL="114300" distR="114300" simplePos="0" relativeHeight="251669504" behindDoc="0" locked="0" layoutInCell="1" allowOverlap="1" wp14:anchorId="0D88D75E" wp14:editId="55BADBDB">
                <wp:simplePos x="0" y="0"/>
                <wp:positionH relativeFrom="margin">
                  <wp:posOffset>0</wp:posOffset>
                </wp:positionH>
                <wp:positionV relativeFrom="paragraph">
                  <wp:posOffset>223520</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8D75E" id="Tekstvak 3" o:spid="_x0000_s1028" type="#_x0000_t202" style="position:absolute;left:0;text-align:left;margin-left:0;margin-top:17.6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">
                <v:textbox style="mso-fit-shape-to-text:t">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v:textbox>
                <w10:wrap type="topAndBottom" anchorx="margin"/>
              </v:shape>
            </w:pict>
          </mc:Fallback>
        </mc:AlternateContent>
      </w:r>
    </w:p>
    <w:p w14:paraId="1F597417" w14:textId="77777777" w:rsidR="00E03C4A" w:rsidRDefault="00E03C4A" w:rsidP="00102CAF"/>
    <w:p w14:paraId="4E11D501" w14:textId="77777777" w:rsidR="00B36B9C" w:rsidRDefault="00F635D2" w:rsidP="00556EF5">
      <w:pPr>
        <w:rPr>
          <w:b/>
          <w:bCs/>
          <w:i/>
          <w:iCs/>
          <w:u w:val="single"/>
        </w:rPr>
      </w:pPr>
      <w:r>
        <w:rPr>
          <w:b/>
          <w:bCs/>
          <w:i/>
          <w:iCs/>
        </w:rPr>
        <w:br/>
      </w:r>
      <w:r w:rsidR="00D1166C" w:rsidRPr="00326FA1">
        <w:rPr>
          <w:b/>
          <w:bCs/>
          <w:i/>
          <w:iCs/>
          <w:u w:val="single"/>
        </w:rPr>
        <w:t xml:space="preserve">Art. 25, lid </w:t>
      </w:r>
      <w:r w:rsidR="00EC003B" w:rsidRPr="00326FA1">
        <w:rPr>
          <w:b/>
          <w:bCs/>
          <w:i/>
          <w:iCs/>
          <w:u w:val="single"/>
        </w:rPr>
        <w:t>5</w:t>
      </w:r>
      <w:r w:rsidR="00B36B9C">
        <w:rPr>
          <w:b/>
          <w:bCs/>
          <w:i/>
          <w:iCs/>
          <w:u w:val="single"/>
        </w:rPr>
        <w:t>:</w:t>
      </w:r>
    </w:p>
    <w:p w14:paraId="35875AD4" w14:textId="1D2572D0" w:rsidR="00556EF5" w:rsidRPr="00556EF5" w:rsidRDefault="00556EF5" w:rsidP="00556EF5">
      <w:pPr>
        <w:rPr>
          <w:i/>
          <w:iCs/>
        </w:rPr>
      </w:pPr>
      <w:r w:rsidRPr="00556EF5">
        <w:rPr>
          <w:i/>
          <w:iCs/>
        </w:rPr>
        <w:t>De steunintensiteit bedraagt voor elke begunstigde ten hoogste</w:t>
      </w:r>
      <w:r w:rsidR="00BF2E34">
        <w:rPr>
          <w:i/>
          <w:iCs/>
        </w:rPr>
        <w:t>:</w:t>
      </w:r>
      <w:r w:rsidR="00BF2E34">
        <w:rPr>
          <w:i/>
          <w:iCs/>
        </w:rPr>
        <w:br/>
      </w:r>
      <w:r w:rsidR="00D1166C">
        <w:rPr>
          <w:i/>
          <w:iCs/>
        </w:rPr>
        <w:t xml:space="preserve"> </w:t>
      </w:r>
    </w:p>
    <w:p w14:paraId="57448E49" w14:textId="753101B1" w:rsidR="00B36B9C" w:rsidRPr="00B36B9C" w:rsidRDefault="00B36B9C" w:rsidP="00B36B9C">
      <w:pPr>
        <w:rPr>
          <w:i/>
          <w:iCs/>
        </w:rPr>
      </w:pPr>
      <w:r w:rsidRPr="00B36B9C">
        <w:rPr>
          <w:i/>
          <w:iCs/>
        </w:rPr>
        <w:t>b) 50% van de in aanmerking komende kosten voor industrieel</w:t>
      </w:r>
      <w:r>
        <w:rPr>
          <w:i/>
          <w:iCs/>
        </w:rPr>
        <w:t xml:space="preserve"> </w:t>
      </w:r>
      <w:r w:rsidRPr="00B36B9C">
        <w:rPr>
          <w:i/>
          <w:iCs/>
        </w:rPr>
        <w:t>onderzoek;</w:t>
      </w:r>
    </w:p>
    <w:p w14:paraId="417019FA" w14:textId="77777777" w:rsidR="00B36B9C" w:rsidRDefault="00B36B9C" w:rsidP="00B36B9C">
      <w:pPr>
        <w:rPr>
          <w:i/>
          <w:iCs/>
        </w:rPr>
      </w:pPr>
    </w:p>
    <w:p w14:paraId="0D9B4426" w14:textId="7C877F71" w:rsidR="00B36B9C" w:rsidRPr="00B36B9C" w:rsidRDefault="00B36B9C" w:rsidP="00B36B9C">
      <w:pPr>
        <w:rPr>
          <w:i/>
          <w:iCs/>
        </w:rPr>
      </w:pPr>
      <w:r w:rsidRPr="00B36B9C">
        <w:rPr>
          <w:i/>
          <w:iCs/>
        </w:rPr>
        <w:t>c) 25% van de in aanmerking komende kosten voor experimentele</w:t>
      </w:r>
      <w:r>
        <w:rPr>
          <w:i/>
          <w:iCs/>
        </w:rPr>
        <w:t xml:space="preserve"> </w:t>
      </w:r>
      <w:r w:rsidRPr="00B36B9C">
        <w:rPr>
          <w:i/>
          <w:iCs/>
        </w:rPr>
        <w:t>ontwikkeling;</w:t>
      </w:r>
    </w:p>
    <w:p w14:paraId="4021A66B" w14:textId="77777777" w:rsidR="00B36B9C" w:rsidRDefault="00B36B9C" w:rsidP="00B36B9C">
      <w:pPr>
        <w:rPr>
          <w:i/>
          <w:iCs/>
        </w:rPr>
      </w:pPr>
    </w:p>
    <w:p w14:paraId="77C0C4B3" w14:textId="0F8DC932" w:rsidR="00556EF5" w:rsidRPr="00556EF5" w:rsidRDefault="00B36B9C" w:rsidP="00B36B9C">
      <w:pPr>
        <w:rPr>
          <w:i/>
          <w:iCs/>
        </w:rPr>
      </w:pPr>
      <w:r w:rsidRPr="00B36B9C">
        <w:rPr>
          <w:i/>
          <w:iCs/>
        </w:rPr>
        <w:t xml:space="preserve">d) 50% van </w:t>
      </w:r>
      <w:r w:rsidR="00556EF5" w:rsidRPr="00556EF5">
        <w:rPr>
          <w:i/>
          <w:iCs/>
        </w:rPr>
        <w:t xml:space="preserve">de in aanmerking komende kosten voor </w:t>
      </w:r>
      <w:r>
        <w:rPr>
          <w:i/>
          <w:iCs/>
        </w:rPr>
        <w:t>haalbaarheidsstudies.</w:t>
      </w:r>
      <w:r w:rsidR="00D1166C">
        <w:rPr>
          <w:i/>
          <w:iCs/>
        </w:rPr>
        <w:t xml:space="preserve"> </w:t>
      </w:r>
      <w:r w:rsidR="00D1166C">
        <w:rPr>
          <w:i/>
          <w:iCs/>
        </w:rPr>
        <w:br/>
      </w:r>
    </w:p>
    <w:p w14:paraId="2C3DE955" w14:textId="7BBEF0AA" w:rsidR="00102CAF" w:rsidRDefault="00102CAF" w:rsidP="00556EF5">
      <w:pPr>
        <w:rPr>
          <w:i/>
          <w:iCs/>
        </w:rPr>
      </w:pPr>
    </w:p>
    <w:p w14:paraId="67239B92" w14:textId="77777777" w:rsidR="00BF2E34" w:rsidRDefault="00BF2E34" w:rsidP="00556EF5">
      <w:pPr>
        <w:rPr>
          <w:i/>
          <w:iCs/>
        </w:rPr>
      </w:pPr>
    </w:p>
    <w:p w14:paraId="3688F433" w14:textId="77777777" w:rsidR="00CB22B8" w:rsidRDefault="00D1166C" w:rsidP="00CB22B8">
      <w:pPr>
        <w:jc w:val="both"/>
        <w:rPr>
          <w:b/>
          <w:bCs/>
          <w:i/>
          <w:iCs/>
          <w:u w:val="single"/>
        </w:rPr>
      </w:pPr>
      <w:r w:rsidRPr="00326FA1">
        <w:rPr>
          <w:b/>
          <w:bCs/>
          <w:i/>
          <w:iCs/>
          <w:u w:val="single"/>
        </w:rPr>
        <w:t xml:space="preserve">Art 25, lid </w:t>
      </w:r>
      <w:r w:rsidR="00556EF5" w:rsidRPr="00326FA1">
        <w:rPr>
          <w:b/>
          <w:bCs/>
          <w:i/>
          <w:iCs/>
          <w:u w:val="single"/>
        </w:rPr>
        <w:t>6</w:t>
      </w:r>
      <w:r w:rsidR="00CB22B8">
        <w:rPr>
          <w:b/>
          <w:bCs/>
          <w:i/>
          <w:iCs/>
          <w:u w:val="single"/>
        </w:rPr>
        <w:t>:</w:t>
      </w:r>
    </w:p>
    <w:p w14:paraId="5FBD5F52" w14:textId="4E97841A" w:rsidR="00556EF5" w:rsidRDefault="00556EF5" w:rsidP="00CB22B8">
      <w:pPr>
        <w:jc w:val="both"/>
        <w:rPr>
          <w:i/>
          <w:iCs/>
        </w:rPr>
      </w:pPr>
      <w:r w:rsidRPr="00556EF5">
        <w:rPr>
          <w:i/>
          <w:iCs/>
        </w:rPr>
        <w:t xml:space="preserve">De steunintensiteit voor </w:t>
      </w:r>
      <w:r w:rsidR="00F635D2">
        <w:rPr>
          <w:i/>
          <w:iCs/>
        </w:rPr>
        <w:t xml:space="preserve">[…] </w:t>
      </w:r>
      <w:r w:rsidRPr="00556EF5">
        <w:rPr>
          <w:i/>
          <w:iCs/>
        </w:rPr>
        <w:t>experimentele ontwikkeling k</w:t>
      </w:r>
      <w:r w:rsidR="00F635D2">
        <w:rPr>
          <w:i/>
          <w:iCs/>
        </w:rPr>
        <w:t xml:space="preserve">an </w:t>
      </w:r>
      <w:r w:rsidRPr="00556EF5">
        <w:rPr>
          <w:i/>
          <w:iCs/>
        </w:rPr>
        <w:t>als volgt worden verhoogd</w:t>
      </w:r>
      <w:r w:rsidR="00F635D2">
        <w:rPr>
          <w:i/>
          <w:iCs/>
        </w:rPr>
        <w:t xml:space="preserve"> […] </w:t>
      </w:r>
      <w:r w:rsidRPr="00556EF5">
        <w:rPr>
          <w:i/>
          <w:iCs/>
        </w:rPr>
        <w:t>:</w:t>
      </w:r>
    </w:p>
    <w:p w14:paraId="4B8D2258" w14:textId="77777777" w:rsidR="00B36B9C" w:rsidRDefault="00B36B9C" w:rsidP="00CB22B8">
      <w:pPr>
        <w:jc w:val="both"/>
        <w:rPr>
          <w:i/>
          <w:iCs/>
        </w:rPr>
      </w:pPr>
    </w:p>
    <w:p w14:paraId="4A2A705F" w14:textId="4D6C372A" w:rsidR="00C376F7" w:rsidRPr="00C376F7" w:rsidRDefault="00C376F7" w:rsidP="00CB22B8">
      <w:pPr>
        <w:jc w:val="both"/>
        <w:rPr>
          <w:i/>
          <w:iCs/>
        </w:rPr>
      </w:pPr>
      <w:r w:rsidRPr="00C376F7">
        <w:rPr>
          <w:i/>
          <w:iCs/>
        </w:rPr>
        <w:t>a) met 10 procentpunten voor middelgrote ondernemingen en met 20 procentpunten voor kleine ondernemingen;</w:t>
      </w:r>
    </w:p>
    <w:p w14:paraId="343C9E39" w14:textId="77777777" w:rsidR="00B36B9C" w:rsidRDefault="00B36B9C" w:rsidP="00CB22B8">
      <w:pPr>
        <w:jc w:val="both"/>
        <w:rPr>
          <w:i/>
          <w:iCs/>
        </w:rPr>
      </w:pPr>
    </w:p>
    <w:p w14:paraId="5925C96C" w14:textId="006B6CE1" w:rsidR="00C376F7" w:rsidRPr="00C376F7" w:rsidRDefault="00C376F7" w:rsidP="00CB22B8">
      <w:pPr>
        <w:jc w:val="both"/>
        <w:rPr>
          <w:i/>
          <w:iCs/>
        </w:rPr>
      </w:pPr>
      <w:r w:rsidRPr="00C376F7">
        <w:rPr>
          <w:i/>
          <w:iCs/>
        </w:rPr>
        <w:t>b) met 15 procentpunten indien één van de volgende voorwaarden is vervuld:</w:t>
      </w:r>
    </w:p>
    <w:p w14:paraId="19AD1711" w14:textId="0DB5E488" w:rsidR="00C376F7" w:rsidRPr="00C376F7" w:rsidRDefault="00F635D2" w:rsidP="00CB22B8">
      <w:pPr>
        <w:jc w:val="both"/>
        <w:rPr>
          <w:i/>
          <w:iCs/>
        </w:rPr>
      </w:pPr>
      <w:r>
        <w:rPr>
          <w:i/>
          <w:iCs/>
        </w:rPr>
        <w:br/>
      </w:r>
      <w:r w:rsidR="00C376F7" w:rsidRPr="00C376F7">
        <w:rPr>
          <w:i/>
          <w:iCs/>
        </w:rPr>
        <w:t>i) het project behelst daadwerkelijke samenwerking:</w:t>
      </w:r>
    </w:p>
    <w:p w14:paraId="205AB10F" w14:textId="77777777" w:rsidR="00C376F7" w:rsidRPr="00C376F7" w:rsidRDefault="00C376F7" w:rsidP="00CB22B8">
      <w:pPr>
        <w:jc w:val="both"/>
        <w:rPr>
          <w:i/>
          <w:iCs/>
        </w:rPr>
      </w:pPr>
      <w:r w:rsidRPr="00C376F7">
        <w:rPr>
          <w:i/>
          <w:iCs/>
        </w:rPr>
        <w:t>— tussen ondernemingen waarvan er ten minste één een kmo is, of wordt uitgevoerd in ten minste twee lidstaten of in een lidstaat en in een overeenkomstsluitende partij bij de EER- overeenkomst, en geen van de ondernemingen neemt meer dan 70 % van de in aanmerking komende kosten voor haar rekening, of</w:t>
      </w:r>
    </w:p>
    <w:p w14:paraId="524743AC" w14:textId="77777777" w:rsidR="00C376F7" w:rsidRPr="00C376F7" w:rsidRDefault="00C376F7" w:rsidP="00CB22B8">
      <w:pPr>
        <w:jc w:val="both"/>
        <w:rPr>
          <w:i/>
          <w:iCs/>
        </w:rPr>
      </w:pPr>
      <w:r w:rsidRPr="00C376F7">
        <w:rPr>
          <w:i/>
          <w:iCs/>
        </w:rPr>
        <w:t>— tussen een onderneming en één of meer organisaties voor onderzoek en kennisverspreiding, waarbij deze organisaties ten minste 10 % van de in aanmerking komende kosten dragen en het recht hebben hun eigen onderzoeksresultaten te publiceren;</w:t>
      </w:r>
    </w:p>
    <w:p w14:paraId="28EC7776" w14:textId="065F3661" w:rsidR="00C376F7" w:rsidRDefault="00F635D2" w:rsidP="00CB22B8">
      <w:pPr>
        <w:jc w:val="both"/>
        <w:rPr>
          <w:i/>
          <w:iCs/>
        </w:rPr>
      </w:pPr>
      <w:r>
        <w:rPr>
          <w:i/>
          <w:iCs/>
        </w:rPr>
        <w:br/>
      </w:r>
      <w:r w:rsidR="00C376F7" w:rsidRPr="00C376F7">
        <w:rPr>
          <w:i/>
          <w:iCs/>
        </w:rPr>
        <w:t>ii) de projectresultaten ruim worden verspreid via conferenties, publicaties, open access-repositories, of gratis of opensource-software.</w:t>
      </w:r>
    </w:p>
    <w:p w14:paraId="6E1690ED" w14:textId="3BDD99BC" w:rsidR="008C4B99" w:rsidRDefault="008C4B99" w:rsidP="00CB22B8">
      <w:pPr>
        <w:jc w:val="both"/>
      </w:pPr>
    </w:p>
    <w:p w14:paraId="3F5F8A5A" w14:textId="0C233EBD" w:rsidR="00CB22B8" w:rsidRDefault="00CB22B8" w:rsidP="00CB22B8">
      <w:pPr>
        <w:jc w:val="both"/>
      </w:pPr>
    </w:p>
    <w:p w14:paraId="3F2A8445" w14:textId="765A7686" w:rsidR="00CB22B8" w:rsidRPr="00CB22B8" w:rsidRDefault="00CB22B8" w:rsidP="00CB22B8">
      <w:pPr>
        <w:jc w:val="both"/>
        <w:rPr>
          <w:b/>
          <w:bCs/>
          <w:i/>
          <w:iCs/>
          <w:u w:val="single"/>
        </w:rPr>
      </w:pPr>
      <w:r w:rsidRPr="00326FA1">
        <w:rPr>
          <w:b/>
          <w:bCs/>
          <w:i/>
          <w:iCs/>
          <w:u w:val="single"/>
        </w:rPr>
        <w:t xml:space="preserve">Art 25, lid </w:t>
      </w:r>
      <w:r>
        <w:rPr>
          <w:b/>
          <w:bCs/>
          <w:i/>
          <w:iCs/>
          <w:u w:val="single"/>
        </w:rPr>
        <w:t>7:</w:t>
      </w:r>
    </w:p>
    <w:p w14:paraId="4EF2CAB9" w14:textId="54755411" w:rsidR="00CB22B8" w:rsidRPr="00CB22B8" w:rsidRDefault="00CB22B8" w:rsidP="00CB22B8">
      <w:pPr>
        <w:jc w:val="both"/>
        <w:rPr>
          <w:i/>
          <w:iCs/>
        </w:rPr>
      </w:pPr>
      <w:r w:rsidRPr="00CB22B8">
        <w:rPr>
          <w:i/>
          <w:iCs/>
        </w:rPr>
        <w:t>De steunintensiteit voor haalbaarheidsstudies kan worden verhoogd met 10 procentpunten voor middelgrote ondernemingen en met 20 procentpunten voor kleine ondernemingen.</w:t>
      </w:r>
      <w:r w:rsidRPr="00CB22B8">
        <w:rPr>
          <w:i/>
          <w:iCs/>
        </w:rPr>
        <w:cr/>
      </w:r>
    </w:p>
    <w:p w14:paraId="60FC10D7" w14:textId="77777777" w:rsidR="00CB22B8" w:rsidRDefault="00CB22B8" w:rsidP="00CB22B8">
      <w:pPr>
        <w:jc w:val="both"/>
      </w:pPr>
    </w:p>
    <w:bookmarkStart w:id="7" w:name="_Hlk87387883"/>
    <w:p w14:paraId="548D49A5" w14:textId="78A63854" w:rsidR="0047090C" w:rsidRDefault="00CB22B8" w:rsidP="00CB22B8">
      <w:pPr>
        <w:jc w:val="both"/>
      </w:pPr>
      <w:r>
        <w:rPr>
          <w:noProof/>
          <w:lang w:eastAsia="nl-NL"/>
        </w:rPr>
        <w:lastRenderedPageBreak/>
        <mc:AlternateContent>
          <mc:Choice Requires="wps">
            <w:drawing>
              <wp:anchor distT="45720" distB="45720" distL="114300" distR="114300" simplePos="0" relativeHeight="251667456" behindDoc="0" locked="0" layoutInCell="1" allowOverlap="1" wp14:anchorId="76C3558E" wp14:editId="00FA7036">
                <wp:simplePos x="0" y="0"/>
                <wp:positionH relativeFrom="margin">
                  <wp:posOffset>36830</wp:posOffset>
                </wp:positionH>
                <wp:positionV relativeFrom="paragraph">
                  <wp:posOffset>787400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3558E" id="Tekstvak 4" o:spid="_x0000_s1029" type="#_x0000_t202" style="position:absolute;left:0;text-align:left;margin-left:2.9pt;margin-top:62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">
                <v:textbox style="mso-fit-shape-to-text:t">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v:textbox>
                <w10:wrap type="topAndBottom" anchorx="margin"/>
              </v:shape>
            </w:pict>
          </mc:Fallback>
        </mc:AlternateContent>
      </w:r>
      <w:r w:rsidR="0047090C" w:rsidRPr="00BB0726">
        <w:rPr>
          <w:b/>
          <w:bCs/>
        </w:rPr>
        <w:t>Toelichting</w:t>
      </w:r>
      <w:r w:rsidR="0047090C">
        <w:t xml:space="preserve">: </w:t>
      </w:r>
      <w:r w:rsidR="00414E29">
        <w:br/>
        <w:t xml:space="preserve">Aan de hand van lid 5 en 6 wordt het subsidiepercentage per deelnemende partij bepaald. </w:t>
      </w:r>
      <w:r w:rsidR="0047090C">
        <w:t xml:space="preserve">Geef aan welk steunpercentage voor </w:t>
      </w:r>
      <w:r w:rsidR="00414E29">
        <w:t xml:space="preserve">de verschillende projectpartners </w:t>
      </w:r>
      <w:r w:rsidR="0047090C">
        <w:t xml:space="preserve">van toepassing is en waarom. </w:t>
      </w:r>
    </w:p>
    <w:bookmarkEnd w:id="7"/>
    <w:p w14:paraId="447B96F7" w14:textId="3442904A" w:rsidR="00D1166C" w:rsidRDefault="00D1166C" w:rsidP="00E7133A">
      <w:pPr>
        <w:rPr>
          <w:b/>
          <w:bCs/>
        </w:rPr>
      </w:pPr>
    </w:p>
    <w:sectPr w:rsidR="00D1166C"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FEBA" w14:textId="77777777" w:rsidR="002B1969" w:rsidRDefault="002B19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FB56" w14:textId="1756BDB3" w:rsidR="0088262C" w:rsidRDefault="0088262C" w:rsidP="0088262C">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8B7D9A8" wp14:editId="3C3D733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6" name="Afbeelding 6"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2B1969">
      <w:rPr>
        <w:rFonts w:asciiTheme="minorHAnsi" w:hAnsiTheme="minorHAnsi" w:cstheme="minorHAnsi"/>
        <w:b/>
        <w:bCs/>
        <w:color w:val="004A99"/>
      </w:rPr>
      <w:t>JTF</w:t>
    </w:r>
    <w:r>
      <w:rPr>
        <w:rFonts w:asciiTheme="minorHAnsi" w:hAnsiTheme="minorHAnsi" w:cstheme="minorHAnsi"/>
        <w:b/>
        <w:bCs/>
        <w:color w:val="004A99"/>
      </w:rPr>
      <w:t xml:space="preserve"> 2021-2027</w:t>
    </w:r>
  </w:p>
  <w:p w14:paraId="4B9C351C" w14:textId="77777777" w:rsidR="00B74618" w:rsidRPr="0088262C" w:rsidRDefault="00B74618" w:rsidP="008826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0728" w14:textId="77777777" w:rsidR="002B1969" w:rsidRDefault="002B1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2B1969"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033EB847" w14:textId="7E1DCC7C" w:rsidR="00E03C4A" w:rsidRDefault="00E03C4A">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5584" w14:textId="77777777" w:rsidR="002B1969" w:rsidRDefault="002B19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93C" w14:textId="77777777" w:rsidR="002B1969" w:rsidRDefault="002B19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4275" w14:textId="77777777" w:rsidR="002B1969" w:rsidRDefault="002B19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5148327">
    <w:abstractNumId w:val="7"/>
  </w:num>
  <w:num w:numId="2" w16cid:durableId="1459950281">
    <w:abstractNumId w:val="3"/>
  </w:num>
  <w:num w:numId="3" w16cid:durableId="1236746594">
    <w:abstractNumId w:val="11"/>
  </w:num>
  <w:num w:numId="4" w16cid:durableId="1950116874">
    <w:abstractNumId w:val="6"/>
  </w:num>
  <w:num w:numId="5" w16cid:durableId="2083209936">
    <w:abstractNumId w:val="0"/>
  </w:num>
  <w:num w:numId="6" w16cid:durableId="2095931325">
    <w:abstractNumId w:val="10"/>
  </w:num>
  <w:num w:numId="7" w16cid:durableId="1807156951">
    <w:abstractNumId w:val="1"/>
  </w:num>
  <w:num w:numId="8" w16cid:durableId="1173494033">
    <w:abstractNumId w:val="8"/>
  </w:num>
  <w:num w:numId="9" w16cid:durableId="1778981950">
    <w:abstractNumId w:val="5"/>
  </w:num>
  <w:num w:numId="10" w16cid:durableId="1597245377">
    <w:abstractNumId w:val="6"/>
  </w:num>
  <w:num w:numId="11" w16cid:durableId="17171105">
    <w:abstractNumId w:val="6"/>
  </w:num>
  <w:num w:numId="12" w16cid:durableId="678822565">
    <w:abstractNumId w:val="2"/>
  </w:num>
  <w:num w:numId="13" w16cid:durableId="862088495">
    <w:abstractNumId w:val="4"/>
  </w:num>
  <w:num w:numId="14" w16cid:durableId="662858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32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13F84"/>
    <w:rsid w:val="00021666"/>
    <w:rsid w:val="00072673"/>
    <w:rsid w:val="000D1C37"/>
    <w:rsid w:val="000D3E45"/>
    <w:rsid w:val="000F3550"/>
    <w:rsid w:val="00102CAF"/>
    <w:rsid w:val="00102D36"/>
    <w:rsid w:val="00110A65"/>
    <w:rsid w:val="00114B25"/>
    <w:rsid w:val="001248A8"/>
    <w:rsid w:val="00147844"/>
    <w:rsid w:val="00157BCE"/>
    <w:rsid w:val="00177B46"/>
    <w:rsid w:val="001955D0"/>
    <w:rsid w:val="00197612"/>
    <w:rsid w:val="001B5673"/>
    <w:rsid w:val="001B5BF7"/>
    <w:rsid w:val="001C517A"/>
    <w:rsid w:val="001D03DE"/>
    <w:rsid w:val="00201945"/>
    <w:rsid w:val="00211907"/>
    <w:rsid w:val="00267E3F"/>
    <w:rsid w:val="0028560D"/>
    <w:rsid w:val="002A1800"/>
    <w:rsid w:val="002A40B7"/>
    <w:rsid w:val="002A62AB"/>
    <w:rsid w:val="002B1969"/>
    <w:rsid w:val="002C0F9A"/>
    <w:rsid w:val="002D53F5"/>
    <w:rsid w:val="002D7EE3"/>
    <w:rsid w:val="002F2904"/>
    <w:rsid w:val="00304109"/>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55F1"/>
    <w:rsid w:val="004D7111"/>
    <w:rsid w:val="00524790"/>
    <w:rsid w:val="005471E0"/>
    <w:rsid w:val="00556EF5"/>
    <w:rsid w:val="00571B15"/>
    <w:rsid w:val="00571B71"/>
    <w:rsid w:val="005831C5"/>
    <w:rsid w:val="005A0EE6"/>
    <w:rsid w:val="005C1E2B"/>
    <w:rsid w:val="005D4A60"/>
    <w:rsid w:val="005E6B57"/>
    <w:rsid w:val="005F34FE"/>
    <w:rsid w:val="005F60F6"/>
    <w:rsid w:val="00615E39"/>
    <w:rsid w:val="00621815"/>
    <w:rsid w:val="00622124"/>
    <w:rsid w:val="00627D64"/>
    <w:rsid w:val="00630F0B"/>
    <w:rsid w:val="00650DB0"/>
    <w:rsid w:val="006571CE"/>
    <w:rsid w:val="00685E27"/>
    <w:rsid w:val="006A53D1"/>
    <w:rsid w:val="006D3559"/>
    <w:rsid w:val="006F05CC"/>
    <w:rsid w:val="006F631B"/>
    <w:rsid w:val="006F6F4B"/>
    <w:rsid w:val="007045B8"/>
    <w:rsid w:val="0075030E"/>
    <w:rsid w:val="007840F7"/>
    <w:rsid w:val="007F5D2B"/>
    <w:rsid w:val="00822991"/>
    <w:rsid w:val="00833751"/>
    <w:rsid w:val="00834F47"/>
    <w:rsid w:val="008418FE"/>
    <w:rsid w:val="00877CD3"/>
    <w:rsid w:val="00881667"/>
    <w:rsid w:val="0088262C"/>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76A29"/>
    <w:rsid w:val="00AC7021"/>
    <w:rsid w:val="00AF6D7F"/>
    <w:rsid w:val="00B017C8"/>
    <w:rsid w:val="00B216D8"/>
    <w:rsid w:val="00B36B9C"/>
    <w:rsid w:val="00B51362"/>
    <w:rsid w:val="00B74618"/>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22B8"/>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03C4A"/>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B746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516">
      <w:bodyDiv w:val="1"/>
      <w:marLeft w:val="0"/>
      <w:marRight w:val="0"/>
      <w:marTop w:val="0"/>
      <w:marBottom w:val="0"/>
      <w:divBdr>
        <w:top w:val="none" w:sz="0" w:space="0" w:color="auto"/>
        <w:left w:val="none" w:sz="0" w:space="0" w:color="auto"/>
        <w:bottom w:val="none" w:sz="0" w:space="0" w:color="auto"/>
        <w:right w:val="none" w:sz="0" w:space="0" w:color="auto"/>
      </w:divBdr>
    </w:div>
    <w:div w:id="1898274882">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A863-7CF4-4066-B7E0-9CED1FC6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1190</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6</cp:revision>
  <cp:lastPrinted>2019-11-18T13:40:00Z</cp:lastPrinted>
  <dcterms:created xsi:type="dcterms:W3CDTF">2022-04-20T13:45:00Z</dcterms:created>
  <dcterms:modified xsi:type="dcterms:W3CDTF">2022-11-25T10:05:00Z</dcterms:modified>
</cp:coreProperties>
</file>