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93629" w14:textId="77777777" w:rsidR="00D8134C" w:rsidRDefault="00C76D71" w:rsidP="00D8134C">
      <w:pPr>
        <w:jc w:val="both"/>
        <w:rPr>
          <w:rStyle w:val="Kop1Char"/>
          <w:b/>
          <w:bCs/>
          <w:sz w:val="28"/>
          <w:szCs w:val="28"/>
        </w:rPr>
      </w:pPr>
      <w:bookmarkStart w:id="0" w:name="_Hlk87387065"/>
      <w:r w:rsidRPr="00C76D71">
        <w:rPr>
          <w:rStyle w:val="Kop1Char"/>
          <w:b/>
          <w:bCs/>
          <w:sz w:val="28"/>
          <w:szCs w:val="28"/>
        </w:rPr>
        <w:t>Formulier s</w:t>
      </w:r>
      <w:r w:rsidR="00102CAF" w:rsidRPr="00C76D71">
        <w:rPr>
          <w:rStyle w:val="Kop1Char"/>
          <w:b/>
          <w:bCs/>
          <w:sz w:val="28"/>
          <w:szCs w:val="28"/>
        </w:rPr>
        <w:t>taatssteun</w:t>
      </w:r>
      <w:r w:rsidRPr="00C76D71">
        <w:rPr>
          <w:rStyle w:val="Kop1Char"/>
          <w:b/>
          <w:bCs/>
          <w:sz w:val="28"/>
          <w:szCs w:val="28"/>
        </w:rPr>
        <w:t>analyse</w:t>
      </w:r>
      <w:bookmarkEnd w:id="0"/>
    </w:p>
    <w:p w14:paraId="35037E9E" w14:textId="19682BFD" w:rsidR="00557C5B" w:rsidRDefault="00C76D71" w:rsidP="00557C5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102CAF" w:rsidRPr="00326FA1">
        <w:rPr>
          <w:b/>
          <w:bCs/>
          <w:sz w:val="24"/>
          <w:szCs w:val="24"/>
        </w:rPr>
        <w:t xml:space="preserve">artikel </w:t>
      </w:r>
      <w:r w:rsidR="00E227AA">
        <w:rPr>
          <w:b/>
          <w:bCs/>
          <w:sz w:val="24"/>
          <w:szCs w:val="24"/>
        </w:rPr>
        <w:t>3</w:t>
      </w:r>
      <w:r w:rsidR="00557C5B">
        <w:rPr>
          <w:b/>
          <w:bCs/>
          <w:sz w:val="24"/>
          <w:szCs w:val="24"/>
        </w:rPr>
        <w:t>4</w:t>
      </w:r>
      <w:r w:rsidR="00326FA1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="000373D9" w:rsidRPr="000373D9">
        <w:rPr>
          <w:b/>
          <w:bCs/>
          <w:sz w:val="24"/>
          <w:szCs w:val="24"/>
        </w:rPr>
        <w:t xml:space="preserve">Steun </w:t>
      </w:r>
      <w:r w:rsidR="00557C5B" w:rsidRPr="00557C5B">
        <w:rPr>
          <w:b/>
          <w:bCs/>
          <w:sz w:val="24"/>
          <w:szCs w:val="24"/>
        </w:rPr>
        <w:t>ter compensatie van de bijkomende kosten voor de</w:t>
      </w:r>
      <w:r w:rsidR="00557C5B">
        <w:rPr>
          <w:b/>
          <w:bCs/>
          <w:sz w:val="24"/>
          <w:szCs w:val="24"/>
        </w:rPr>
        <w:t xml:space="preserve"> </w:t>
      </w:r>
      <w:r w:rsidR="00557C5B" w:rsidRPr="00557C5B">
        <w:rPr>
          <w:b/>
          <w:bCs/>
          <w:sz w:val="24"/>
          <w:szCs w:val="24"/>
        </w:rPr>
        <w:t>tewerkstelling van werknemers met een handicap</w:t>
      </w:r>
    </w:p>
    <w:p w14:paraId="0B4B2FA9" w14:textId="787ED6CD" w:rsidR="00615E39" w:rsidRPr="000373D9" w:rsidRDefault="00615E39" w:rsidP="00557C5B">
      <w:pPr>
        <w:jc w:val="both"/>
        <w:rPr>
          <w:b/>
          <w:bCs/>
          <w:sz w:val="24"/>
          <w:szCs w:val="24"/>
        </w:rPr>
      </w:pPr>
      <w:r>
        <w:rPr>
          <w:b/>
          <w:bCs/>
          <w:u w:val="single"/>
        </w:rPr>
        <w:br/>
      </w:r>
      <w:bookmarkStart w:id="1" w:name="_Hlk87386336"/>
      <w:r w:rsidRPr="00615E39">
        <w:rPr>
          <w:b/>
          <w:bCs/>
          <w:u w:val="single"/>
        </w:rPr>
        <w:t>Inleiding</w:t>
      </w:r>
    </w:p>
    <w:p w14:paraId="49CC8A10" w14:textId="1B4B7FD6" w:rsidR="00C47F95" w:rsidRPr="00495FA1" w:rsidRDefault="00ED1D74" w:rsidP="004D0AB4">
      <w:pPr>
        <w:jc w:val="both"/>
      </w:pPr>
      <w:r w:rsidRPr="00495FA1">
        <w:t xml:space="preserve">Om subsidie te mogen toekennen aan een project, moeten de activiteiten </w:t>
      </w:r>
      <w:r w:rsidR="00C47F95" w:rsidRPr="00495FA1">
        <w:t xml:space="preserve">‘staatssteunproof’ zijn. De Europese Commissie noemt de nodige voorwaarden op basis waarvan staatssteun mag worden verleend. Deze voorwaarden worden toegelicht in de artikelen van de zogenaamde </w:t>
      </w:r>
      <w:hyperlink r:id="rId11" w:history="1">
        <w:r w:rsidR="00C47F95" w:rsidRPr="00495FA1">
          <w:rPr>
            <w:rStyle w:val="Hyperlink"/>
            <w:color w:val="auto"/>
          </w:rPr>
          <w:t>Algemene Groepsvrijstellingsverordening </w:t>
        </w:r>
      </w:hyperlink>
      <w:r w:rsidR="00C47F95" w:rsidRPr="00495FA1">
        <w:t>(AGVV).</w:t>
      </w:r>
    </w:p>
    <w:p w14:paraId="1D364D53" w14:textId="20441066" w:rsidR="00C47F95" w:rsidRPr="00495FA1" w:rsidRDefault="00C47F95" w:rsidP="004D0AB4">
      <w:pPr>
        <w:jc w:val="both"/>
      </w:pPr>
    </w:p>
    <w:p w14:paraId="72FBC0F2" w14:textId="77777777" w:rsidR="00FB468C" w:rsidRDefault="00622124" w:rsidP="000373D9">
      <w:pPr>
        <w:jc w:val="both"/>
      </w:pPr>
      <w:r w:rsidRPr="00495FA1">
        <w:t>Eén van de artikelen die gebruikt k</w:t>
      </w:r>
      <w:r w:rsidR="00495FA1">
        <w:t>an</w:t>
      </w:r>
      <w:r w:rsidRPr="00495FA1">
        <w:t xml:space="preserve"> worden is artikel </w:t>
      </w:r>
      <w:r w:rsidR="00FD48E7">
        <w:t>3</w:t>
      </w:r>
      <w:r w:rsidR="00557C5B">
        <w:t>4</w:t>
      </w:r>
      <w:r w:rsidRPr="00495FA1">
        <w:t>. Dit artikel gaat ove</w:t>
      </w:r>
      <w:r w:rsidR="00F26463">
        <w:t xml:space="preserve">r </w:t>
      </w:r>
      <w:r w:rsidR="00455B0E" w:rsidRPr="00455B0E">
        <w:t xml:space="preserve">steun </w:t>
      </w:r>
      <w:r w:rsidR="00FB468C" w:rsidRPr="00FB468C">
        <w:t>ter compensatie van de bijkomende kosten van de tewerkstelling van werknemers met een handicap</w:t>
      </w:r>
      <w:r w:rsidR="00FB468C">
        <w:t>.</w:t>
      </w:r>
    </w:p>
    <w:p w14:paraId="6D35C4F9" w14:textId="55247726" w:rsidR="00495FA1" w:rsidRDefault="00622124" w:rsidP="000373D9">
      <w:pPr>
        <w:jc w:val="both"/>
      </w:pPr>
      <w:r w:rsidRPr="00495FA1">
        <w:br/>
        <w:t>In d</w:t>
      </w:r>
      <w:r w:rsidR="00C76D71">
        <w:t xml:space="preserve">it </w:t>
      </w:r>
      <w:bookmarkStart w:id="2" w:name="_Hlk87387108"/>
      <w:r w:rsidR="00C76D71">
        <w:t xml:space="preserve">formulier </w:t>
      </w:r>
      <w:r w:rsidRPr="00495FA1">
        <w:t>staatssteun</w:t>
      </w:r>
      <w:r w:rsidR="00C76D71">
        <w:t>analyse</w:t>
      </w:r>
      <w:r w:rsidRPr="00495FA1">
        <w:t xml:space="preserve"> </w:t>
      </w:r>
      <w:bookmarkEnd w:id="2"/>
      <w:r w:rsidRPr="00495FA1">
        <w:t>is het aan de aanvrager om</w:t>
      </w:r>
      <w:r w:rsidR="00F82C28" w:rsidRPr="00495FA1">
        <w:t xml:space="preserve"> in de tekstvakken,</w:t>
      </w:r>
      <w:r w:rsidRPr="00495FA1">
        <w:t xml:space="preserve"> per lid van artikel </w:t>
      </w:r>
      <w:r w:rsidR="00FD48E7">
        <w:t>3</w:t>
      </w:r>
      <w:r w:rsidR="00557C5B">
        <w:t>4</w:t>
      </w:r>
      <w:r w:rsidR="00F82C28" w:rsidRPr="00495FA1">
        <w:t>,</w:t>
      </w:r>
      <w:r w:rsidRPr="00495FA1">
        <w:t xml:space="preserve"> aan te geven waarom het project voldoet aan de gestelde voorwaarden. </w:t>
      </w:r>
      <w:r>
        <w:br/>
      </w:r>
    </w:p>
    <w:p w14:paraId="6E35E2C8" w14:textId="03E17FA8" w:rsidR="00622124" w:rsidRDefault="00495FA1" w:rsidP="00102CAF">
      <w:r>
        <w:t xml:space="preserve">Let op: u geeft een toelichting in de tekstblokken. </w:t>
      </w:r>
      <w:r w:rsidR="00622124">
        <w:t xml:space="preserve"> </w:t>
      </w:r>
    </w:p>
    <w:bookmarkEnd w:id="1"/>
    <w:p w14:paraId="071FD143" w14:textId="77777777" w:rsidR="00495FA1" w:rsidRDefault="00495FA1" w:rsidP="00102CAF"/>
    <w:p w14:paraId="6DD0FC3E" w14:textId="77777777" w:rsidR="00495FA1" w:rsidRDefault="00495FA1" w:rsidP="00102CAF">
      <w:pPr>
        <w:rPr>
          <w:b/>
          <w:bCs/>
          <w:i/>
          <w:iCs/>
        </w:rPr>
      </w:pPr>
    </w:p>
    <w:p w14:paraId="426EF775" w14:textId="305EE5E3" w:rsidR="005A73BD" w:rsidRDefault="00F82C28" w:rsidP="005A73BD">
      <w:pPr>
        <w:jc w:val="both"/>
        <w:rPr>
          <w:b/>
          <w:bCs/>
          <w:i/>
          <w:iCs/>
          <w:u w:val="single"/>
        </w:rPr>
      </w:pPr>
      <w:bookmarkStart w:id="3" w:name="_Hlk87387140"/>
      <w:r w:rsidRPr="00326FA1">
        <w:rPr>
          <w:b/>
          <w:bCs/>
          <w:i/>
          <w:iCs/>
          <w:u w:val="single"/>
        </w:rPr>
        <w:t xml:space="preserve">Art </w:t>
      </w:r>
      <w:r w:rsidR="009C31BE">
        <w:rPr>
          <w:b/>
          <w:bCs/>
          <w:i/>
          <w:iCs/>
          <w:u w:val="single"/>
        </w:rPr>
        <w:t>3</w:t>
      </w:r>
      <w:r w:rsidR="00FB468C">
        <w:rPr>
          <w:b/>
          <w:bCs/>
          <w:i/>
          <w:iCs/>
          <w:u w:val="single"/>
        </w:rPr>
        <w:t>4</w:t>
      </w:r>
      <w:r w:rsidRPr="00326FA1">
        <w:rPr>
          <w:b/>
          <w:bCs/>
          <w:i/>
          <w:iCs/>
          <w:u w:val="single"/>
        </w:rPr>
        <w:t>, lid 1:</w:t>
      </w:r>
      <w:bookmarkEnd w:id="3"/>
    </w:p>
    <w:p w14:paraId="10D3D8B8" w14:textId="0B21A512" w:rsidR="007E4301" w:rsidRDefault="00FB468C" w:rsidP="00FB468C">
      <w:pPr>
        <w:jc w:val="both"/>
        <w:rPr>
          <w:i/>
          <w:iCs/>
        </w:rPr>
      </w:pPr>
      <w:bookmarkStart w:id="4" w:name="_Hlk87387169"/>
      <w:r w:rsidRPr="00FB468C">
        <w:rPr>
          <w:i/>
          <w:iCs/>
        </w:rPr>
        <w:t>Steun ter compensatie van de bijkomende kosten van de tewerkstelling van werknemers met een handicap is verenigbaar met de interne</w:t>
      </w:r>
      <w:r>
        <w:rPr>
          <w:i/>
          <w:iCs/>
        </w:rPr>
        <w:t xml:space="preserve"> </w:t>
      </w:r>
      <w:r w:rsidRPr="00FB468C">
        <w:rPr>
          <w:i/>
          <w:iCs/>
        </w:rPr>
        <w:t>markt in de zin van artikel 107, lid 3, van het Verdrag en is van de</w:t>
      </w:r>
      <w:r>
        <w:rPr>
          <w:i/>
          <w:iCs/>
        </w:rPr>
        <w:t xml:space="preserve"> </w:t>
      </w:r>
      <w:r w:rsidRPr="00FB468C">
        <w:rPr>
          <w:i/>
          <w:iCs/>
        </w:rPr>
        <w:t>aanmeldingsverplichting van artikel 108, lid 3, van het Verdrag vrijgesteld, mits de in dit artikel en in hoofdstuk I vastgestelde voorwaarden zijn vervuld.</w:t>
      </w:r>
    </w:p>
    <w:p w14:paraId="18B93F5C" w14:textId="77777777" w:rsidR="00FB468C" w:rsidRDefault="00FB468C" w:rsidP="00FB468C"/>
    <w:p w14:paraId="350E1B6C" w14:textId="7D6003BD" w:rsidR="00F635D2" w:rsidRDefault="00F635D2" w:rsidP="00F635D2">
      <w:r>
        <w:t>Inleidend lid, geen toelichting nodig</w:t>
      </w:r>
      <w:r w:rsidR="00D832AA">
        <w:t>.</w:t>
      </w:r>
    </w:p>
    <w:bookmarkEnd w:id="4"/>
    <w:p w14:paraId="464098F4" w14:textId="793EBFDE" w:rsidR="00F635D2" w:rsidRDefault="00F635D2" w:rsidP="00102CAF"/>
    <w:p w14:paraId="36336037" w14:textId="77777777" w:rsidR="00F82C28" w:rsidRDefault="00F82C28" w:rsidP="00102CAF">
      <w:pPr>
        <w:rPr>
          <w:i/>
          <w:iCs/>
        </w:rPr>
      </w:pPr>
    </w:p>
    <w:p w14:paraId="74BF1368" w14:textId="3E477048" w:rsidR="005A73BD" w:rsidRDefault="00F82C28" w:rsidP="00455B0E">
      <w:pPr>
        <w:jc w:val="both"/>
        <w:rPr>
          <w:b/>
          <w:bCs/>
          <w:i/>
          <w:iCs/>
          <w:u w:val="single"/>
        </w:rPr>
      </w:pPr>
      <w:r w:rsidRPr="00326FA1">
        <w:rPr>
          <w:b/>
          <w:bCs/>
          <w:i/>
          <w:iCs/>
          <w:u w:val="single"/>
        </w:rPr>
        <w:t xml:space="preserve">Art. </w:t>
      </w:r>
      <w:r w:rsidR="00DF290B">
        <w:rPr>
          <w:b/>
          <w:bCs/>
          <w:i/>
          <w:iCs/>
          <w:u w:val="single"/>
        </w:rPr>
        <w:t>3</w:t>
      </w:r>
      <w:r w:rsidR="00FB468C">
        <w:rPr>
          <w:b/>
          <w:bCs/>
          <w:i/>
          <w:iCs/>
          <w:u w:val="single"/>
        </w:rPr>
        <w:t>4</w:t>
      </w:r>
      <w:r w:rsidRPr="00326FA1">
        <w:rPr>
          <w:b/>
          <w:bCs/>
          <w:i/>
          <w:iCs/>
          <w:u w:val="single"/>
        </w:rPr>
        <w:t xml:space="preserve">, lid </w:t>
      </w:r>
      <w:r w:rsidR="00102CAF" w:rsidRPr="00326FA1">
        <w:rPr>
          <w:b/>
          <w:bCs/>
          <w:i/>
          <w:iCs/>
          <w:u w:val="single"/>
        </w:rPr>
        <w:t>2</w:t>
      </w:r>
      <w:r w:rsidRPr="00326FA1">
        <w:rPr>
          <w:b/>
          <w:bCs/>
          <w:i/>
          <w:iCs/>
          <w:u w:val="single"/>
        </w:rPr>
        <w:t>:</w:t>
      </w:r>
    </w:p>
    <w:p w14:paraId="7AE6B419" w14:textId="34337D51" w:rsidR="00FB468C" w:rsidRPr="00FB468C" w:rsidRDefault="00FB468C" w:rsidP="00FB468C">
      <w:pPr>
        <w:jc w:val="both"/>
        <w:rPr>
          <w:i/>
          <w:iCs/>
        </w:rPr>
      </w:pPr>
      <w:r w:rsidRPr="00FB468C">
        <w:rPr>
          <w:i/>
          <w:iCs/>
        </w:rPr>
        <w:t>De in aanmerking komende kosten zijn de volgende:</w:t>
      </w:r>
    </w:p>
    <w:p w14:paraId="2AC07F52" w14:textId="77777777" w:rsidR="00FB468C" w:rsidRDefault="00FB468C" w:rsidP="00FB468C">
      <w:pPr>
        <w:jc w:val="both"/>
        <w:rPr>
          <w:i/>
          <w:iCs/>
        </w:rPr>
      </w:pPr>
    </w:p>
    <w:p w14:paraId="7F981DE3" w14:textId="55AB614C" w:rsidR="00FB468C" w:rsidRPr="00FB468C" w:rsidRDefault="00FB468C" w:rsidP="00FB468C">
      <w:pPr>
        <w:jc w:val="both"/>
        <w:rPr>
          <w:i/>
          <w:iCs/>
        </w:rPr>
      </w:pPr>
      <w:r w:rsidRPr="00FB468C">
        <w:rPr>
          <w:i/>
          <w:iCs/>
        </w:rPr>
        <w:t>a) de kosten voor de aanpassing van de ruimten;</w:t>
      </w:r>
    </w:p>
    <w:p w14:paraId="1C097B10" w14:textId="77777777" w:rsidR="00FB468C" w:rsidRDefault="00FB468C" w:rsidP="00FB468C">
      <w:pPr>
        <w:jc w:val="both"/>
        <w:rPr>
          <w:i/>
          <w:iCs/>
        </w:rPr>
      </w:pPr>
    </w:p>
    <w:p w14:paraId="7BB1A3D1" w14:textId="5540917F" w:rsidR="00FB468C" w:rsidRPr="00FB468C" w:rsidRDefault="00FB468C" w:rsidP="00FB468C">
      <w:pPr>
        <w:jc w:val="both"/>
        <w:rPr>
          <w:i/>
          <w:iCs/>
        </w:rPr>
      </w:pPr>
      <w:r w:rsidRPr="00FB468C">
        <w:rPr>
          <w:i/>
          <w:iCs/>
        </w:rPr>
        <w:t>b) de kosten voor het inzetten van medewerkers voor de tijd die het</w:t>
      </w:r>
      <w:r>
        <w:rPr>
          <w:i/>
          <w:iCs/>
        </w:rPr>
        <w:t xml:space="preserve"> </w:t>
      </w:r>
      <w:r w:rsidRPr="00FB468C">
        <w:rPr>
          <w:i/>
          <w:iCs/>
        </w:rPr>
        <w:t>personeel uitsluitend besteedt aan de begeleiding van de werknemers</w:t>
      </w:r>
      <w:r>
        <w:rPr>
          <w:i/>
          <w:iCs/>
        </w:rPr>
        <w:t xml:space="preserve"> </w:t>
      </w:r>
      <w:r w:rsidRPr="00FB468C">
        <w:rPr>
          <w:i/>
          <w:iCs/>
        </w:rPr>
        <w:t>met een handicap, en de kosten voor het opleiden van medewerkers</w:t>
      </w:r>
      <w:r>
        <w:rPr>
          <w:i/>
          <w:iCs/>
        </w:rPr>
        <w:t xml:space="preserve"> </w:t>
      </w:r>
      <w:r w:rsidRPr="00FB468C">
        <w:rPr>
          <w:i/>
          <w:iCs/>
        </w:rPr>
        <w:t>die werknemers met een handicap begeleiden;</w:t>
      </w:r>
    </w:p>
    <w:p w14:paraId="7DC5FDA4" w14:textId="77777777" w:rsidR="00FB468C" w:rsidRDefault="00FB468C" w:rsidP="00FB468C">
      <w:pPr>
        <w:jc w:val="both"/>
        <w:rPr>
          <w:i/>
          <w:iCs/>
        </w:rPr>
      </w:pPr>
    </w:p>
    <w:p w14:paraId="59DEB78D" w14:textId="3468A3D5" w:rsidR="00FB468C" w:rsidRPr="00FB468C" w:rsidRDefault="00FB468C" w:rsidP="00FB468C">
      <w:pPr>
        <w:jc w:val="both"/>
        <w:rPr>
          <w:i/>
          <w:iCs/>
        </w:rPr>
      </w:pPr>
      <w:r w:rsidRPr="00FB468C">
        <w:rPr>
          <w:i/>
          <w:iCs/>
        </w:rPr>
        <w:t>c) de kosten voor de aanpassing of aankoop van apparatuur of voor de</w:t>
      </w:r>
      <w:r>
        <w:rPr>
          <w:i/>
          <w:iCs/>
        </w:rPr>
        <w:t xml:space="preserve"> </w:t>
      </w:r>
      <w:r w:rsidRPr="00FB468C">
        <w:rPr>
          <w:i/>
          <w:iCs/>
        </w:rPr>
        <w:t>aankoop en validering van software die werknemers met een handicap gebruiken, met inbegrip van aangepaste of assistive technologie,</w:t>
      </w:r>
      <w:r>
        <w:rPr>
          <w:i/>
          <w:iCs/>
        </w:rPr>
        <w:t xml:space="preserve"> </w:t>
      </w:r>
      <w:r w:rsidRPr="00FB468C">
        <w:rPr>
          <w:i/>
          <w:iCs/>
        </w:rPr>
        <w:t>wanneer deze kosten bovenop de kosten komen die de begunstigde</w:t>
      </w:r>
      <w:r>
        <w:rPr>
          <w:i/>
          <w:iCs/>
        </w:rPr>
        <w:t xml:space="preserve"> </w:t>
      </w:r>
      <w:r w:rsidRPr="00FB468C">
        <w:rPr>
          <w:i/>
          <w:iCs/>
        </w:rPr>
        <w:t>had moeten maken indien hij geen werknemers met een handicap</w:t>
      </w:r>
      <w:r>
        <w:rPr>
          <w:i/>
          <w:iCs/>
        </w:rPr>
        <w:t xml:space="preserve"> </w:t>
      </w:r>
      <w:r w:rsidRPr="00FB468C">
        <w:rPr>
          <w:i/>
          <w:iCs/>
        </w:rPr>
        <w:t>had tewerkgesteld;</w:t>
      </w:r>
    </w:p>
    <w:p w14:paraId="392AEA10" w14:textId="77777777" w:rsidR="00FB468C" w:rsidRDefault="00FB468C" w:rsidP="00FB468C">
      <w:pPr>
        <w:jc w:val="both"/>
        <w:rPr>
          <w:i/>
          <w:iCs/>
        </w:rPr>
      </w:pPr>
    </w:p>
    <w:p w14:paraId="4E1652DA" w14:textId="610B098B" w:rsidR="00FB468C" w:rsidRPr="00FB468C" w:rsidRDefault="00FB468C" w:rsidP="00FB468C">
      <w:pPr>
        <w:jc w:val="both"/>
        <w:rPr>
          <w:i/>
          <w:iCs/>
        </w:rPr>
      </w:pPr>
      <w:r w:rsidRPr="00FB468C">
        <w:rPr>
          <w:i/>
          <w:iCs/>
        </w:rPr>
        <w:t>d) de kosten die rechtstreeks verband houden met het vervoer van</w:t>
      </w:r>
      <w:r>
        <w:rPr>
          <w:i/>
          <w:iCs/>
        </w:rPr>
        <w:t xml:space="preserve"> </w:t>
      </w:r>
      <w:r w:rsidRPr="00FB468C">
        <w:rPr>
          <w:i/>
          <w:iCs/>
        </w:rPr>
        <w:t>werknemers met een handicap naar de plaats van arbeid, en de</w:t>
      </w:r>
      <w:r>
        <w:rPr>
          <w:i/>
          <w:iCs/>
        </w:rPr>
        <w:t xml:space="preserve"> </w:t>
      </w:r>
      <w:r w:rsidRPr="00FB468C">
        <w:rPr>
          <w:i/>
          <w:iCs/>
        </w:rPr>
        <w:t>kosten voor werkgerelateerde activiteiten;</w:t>
      </w:r>
    </w:p>
    <w:p w14:paraId="5E9253A6" w14:textId="77777777" w:rsidR="00FB468C" w:rsidRDefault="00FB468C" w:rsidP="00FB468C">
      <w:pPr>
        <w:jc w:val="both"/>
        <w:rPr>
          <w:i/>
          <w:iCs/>
        </w:rPr>
      </w:pPr>
    </w:p>
    <w:p w14:paraId="37E3D5B9" w14:textId="164BE343" w:rsidR="00FB468C" w:rsidRPr="00FB468C" w:rsidRDefault="00FB468C" w:rsidP="00FB468C">
      <w:pPr>
        <w:jc w:val="both"/>
        <w:rPr>
          <w:i/>
          <w:iCs/>
        </w:rPr>
      </w:pPr>
      <w:r w:rsidRPr="00FB468C">
        <w:rPr>
          <w:i/>
          <w:iCs/>
        </w:rPr>
        <w:t>e) de loonkosten voor de uren die een werknemer met een handicap</w:t>
      </w:r>
      <w:r>
        <w:rPr>
          <w:i/>
          <w:iCs/>
        </w:rPr>
        <w:t xml:space="preserve"> </w:t>
      </w:r>
      <w:r w:rsidRPr="00FB468C">
        <w:rPr>
          <w:i/>
          <w:iCs/>
        </w:rPr>
        <w:t>besteedt aan rehabilitatie;</w:t>
      </w:r>
    </w:p>
    <w:p w14:paraId="4719F3C7" w14:textId="77777777" w:rsidR="00FB468C" w:rsidRDefault="00FB468C" w:rsidP="00FB468C">
      <w:pPr>
        <w:jc w:val="both"/>
        <w:rPr>
          <w:i/>
          <w:iCs/>
        </w:rPr>
      </w:pPr>
    </w:p>
    <w:p w14:paraId="7D75C942" w14:textId="0C5229B1" w:rsidR="00F8174D" w:rsidRPr="007E4301" w:rsidRDefault="00FB468C" w:rsidP="00FB468C">
      <w:pPr>
        <w:jc w:val="both"/>
        <w:rPr>
          <w:i/>
          <w:iCs/>
        </w:rPr>
      </w:pPr>
      <w:r w:rsidRPr="00FB468C">
        <w:rPr>
          <w:i/>
          <w:iCs/>
        </w:rPr>
        <w:lastRenderedPageBreak/>
        <w:t>f) wanneer de begunstigde onderneming een sociale werkvoorziening</w:t>
      </w:r>
      <w:r>
        <w:rPr>
          <w:i/>
          <w:iCs/>
        </w:rPr>
        <w:t xml:space="preserve"> </w:t>
      </w:r>
      <w:r w:rsidRPr="00FB468C">
        <w:rPr>
          <w:i/>
          <w:iCs/>
        </w:rPr>
        <w:t>biedt: de kosten voor de bouw, installatie of modernisering van de</w:t>
      </w:r>
      <w:r>
        <w:rPr>
          <w:i/>
          <w:iCs/>
        </w:rPr>
        <w:t xml:space="preserve"> </w:t>
      </w:r>
      <w:r w:rsidRPr="00FB468C">
        <w:rPr>
          <w:i/>
          <w:iCs/>
        </w:rPr>
        <w:t>productie-eenheden van de betrokken onderneming, alsmede alle</w:t>
      </w:r>
      <w:r>
        <w:rPr>
          <w:i/>
          <w:iCs/>
        </w:rPr>
        <w:t xml:space="preserve"> </w:t>
      </w:r>
      <w:r w:rsidRPr="00FB468C">
        <w:rPr>
          <w:i/>
          <w:iCs/>
        </w:rPr>
        <w:t>kosten voor de administratie en het vervoer, mits die kosten rechtstreeks uit de tewerkstelling van werknemers met een handicap</w:t>
      </w:r>
      <w:r>
        <w:rPr>
          <w:i/>
          <w:iCs/>
        </w:rPr>
        <w:t xml:space="preserve"> </w:t>
      </w:r>
      <w:r w:rsidRPr="00FB468C">
        <w:rPr>
          <w:i/>
          <w:iCs/>
        </w:rPr>
        <w:t>voortvloeien.</w:t>
      </w:r>
    </w:p>
    <w:p w14:paraId="04413917" w14:textId="30060252" w:rsidR="007E4301" w:rsidRDefault="00FB468C" w:rsidP="003006FE">
      <w:pPr>
        <w:jc w:val="both"/>
        <w:rPr>
          <w:b/>
          <w:bCs/>
          <w:i/>
          <w:iCs/>
          <w:u w:val="single"/>
        </w:rPr>
      </w:pP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3BFC8E4" wp14:editId="7193CBF1">
                <wp:simplePos x="0" y="0"/>
                <wp:positionH relativeFrom="margin">
                  <wp:align>left</wp:align>
                </wp:positionH>
                <wp:positionV relativeFrom="paragraph">
                  <wp:posOffset>252095</wp:posOffset>
                </wp:positionV>
                <wp:extent cx="5234940" cy="1981200"/>
                <wp:effectExtent l="0" t="0" r="22860" b="19050"/>
                <wp:wrapTopAndBottom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94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6EAC1" w14:textId="1028A0EF" w:rsidR="00F8174D" w:rsidRPr="002A62AB" w:rsidRDefault="00F8174D" w:rsidP="00F8174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A62AB">
                              <w:rPr>
                                <w:b/>
                                <w:bCs/>
                              </w:rPr>
                              <w:t xml:space="preserve">Geef hier aan waarom de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door u opgevoerde kosten voldoen 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 xml:space="preserve">aan artikel 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FB468C">
                              <w:rPr>
                                <w:b/>
                                <w:bCs/>
                              </w:rPr>
                              <w:t>4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 xml:space="preserve">, lid 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4658B8AB" w14:textId="77777777" w:rsidR="00F8174D" w:rsidRDefault="00F8174D" w:rsidP="00F8174D"/>
                          <w:p w14:paraId="54B147B2" w14:textId="77777777" w:rsidR="00F8174D" w:rsidRDefault="00F8174D" w:rsidP="00F8174D"/>
                          <w:p w14:paraId="30184DC2" w14:textId="77777777" w:rsidR="00F8174D" w:rsidRDefault="00F8174D" w:rsidP="00F8174D"/>
                          <w:p w14:paraId="2F6BDA01" w14:textId="77777777" w:rsidR="00F8174D" w:rsidRDefault="00F8174D" w:rsidP="00F8174D"/>
                          <w:p w14:paraId="579719A0" w14:textId="77777777" w:rsidR="00F8174D" w:rsidRDefault="00F8174D" w:rsidP="00F8174D"/>
                          <w:p w14:paraId="5ABEF0FB" w14:textId="77777777" w:rsidR="00F8174D" w:rsidRDefault="00F8174D" w:rsidP="00F8174D"/>
                          <w:p w14:paraId="6A2FAF90" w14:textId="77777777" w:rsidR="00F8174D" w:rsidRDefault="00F8174D" w:rsidP="00F8174D"/>
                          <w:p w14:paraId="426F141C" w14:textId="77777777" w:rsidR="00F8174D" w:rsidRDefault="00F8174D" w:rsidP="00F8174D"/>
                          <w:p w14:paraId="3A63461F" w14:textId="77777777" w:rsidR="00F8174D" w:rsidRDefault="00F8174D" w:rsidP="00F8174D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FC8E4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0;margin-top:19.85pt;width:412.2pt;height:156pt;z-index:251687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">
                <v:textbox>
                  <w:txbxContent>
                    <w:p w14:paraId="2AB6EAC1" w14:textId="1028A0EF" w:rsidR="00F8174D" w:rsidRPr="002A62AB" w:rsidRDefault="00F8174D" w:rsidP="00F8174D">
                      <w:pPr>
                        <w:rPr>
                          <w:b/>
                          <w:bCs/>
                        </w:rPr>
                      </w:pPr>
                      <w:r w:rsidRPr="002A62AB">
                        <w:rPr>
                          <w:b/>
                          <w:bCs/>
                        </w:rPr>
                        <w:t xml:space="preserve">Geef hier aan waarom de </w:t>
                      </w:r>
                      <w:r>
                        <w:rPr>
                          <w:b/>
                          <w:bCs/>
                        </w:rPr>
                        <w:t xml:space="preserve">door u opgevoerde kosten voldoen </w:t>
                      </w:r>
                      <w:r w:rsidRPr="002A62AB">
                        <w:rPr>
                          <w:b/>
                          <w:bCs/>
                        </w:rPr>
                        <w:t xml:space="preserve">aan artikel </w:t>
                      </w:r>
                      <w:r>
                        <w:rPr>
                          <w:b/>
                          <w:bCs/>
                        </w:rPr>
                        <w:t>3</w:t>
                      </w:r>
                      <w:r w:rsidR="00FB468C">
                        <w:rPr>
                          <w:b/>
                          <w:bCs/>
                        </w:rPr>
                        <w:t>4</w:t>
                      </w:r>
                      <w:r w:rsidRPr="002A62AB">
                        <w:rPr>
                          <w:b/>
                          <w:bCs/>
                        </w:rPr>
                        <w:t xml:space="preserve">, lid 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  <w:r w:rsidRPr="002A62AB">
                        <w:rPr>
                          <w:b/>
                          <w:bCs/>
                        </w:rPr>
                        <w:t>:</w:t>
                      </w:r>
                    </w:p>
                    <w:p w14:paraId="4658B8AB" w14:textId="77777777" w:rsidR="00F8174D" w:rsidRDefault="00F8174D" w:rsidP="00F8174D"/>
                    <w:p w14:paraId="54B147B2" w14:textId="77777777" w:rsidR="00F8174D" w:rsidRDefault="00F8174D" w:rsidP="00F8174D"/>
                    <w:p w14:paraId="30184DC2" w14:textId="77777777" w:rsidR="00F8174D" w:rsidRDefault="00F8174D" w:rsidP="00F8174D"/>
                    <w:p w14:paraId="2F6BDA01" w14:textId="77777777" w:rsidR="00F8174D" w:rsidRDefault="00F8174D" w:rsidP="00F8174D"/>
                    <w:p w14:paraId="579719A0" w14:textId="77777777" w:rsidR="00F8174D" w:rsidRDefault="00F8174D" w:rsidP="00F8174D"/>
                    <w:p w14:paraId="5ABEF0FB" w14:textId="77777777" w:rsidR="00F8174D" w:rsidRDefault="00F8174D" w:rsidP="00F8174D"/>
                    <w:p w14:paraId="6A2FAF90" w14:textId="77777777" w:rsidR="00F8174D" w:rsidRDefault="00F8174D" w:rsidP="00F8174D"/>
                    <w:p w14:paraId="426F141C" w14:textId="77777777" w:rsidR="00F8174D" w:rsidRDefault="00F8174D" w:rsidP="00F8174D"/>
                    <w:p w14:paraId="3A63461F" w14:textId="77777777" w:rsidR="00F8174D" w:rsidRDefault="00F8174D" w:rsidP="00F8174D">
                      <w:r>
                        <w:t xml:space="preserve">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00DA4F0" w14:textId="77777777" w:rsidR="00FB468C" w:rsidRDefault="00FB468C" w:rsidP="003006FE">
      <w:pPr>
        <w:jc w:val="both"/>
        <w:rPr>
          <w:b/>
          <w:bCs/>
          <w:i/>
          <w:iCs/>
          <w:u w:val="single"/>
        </w:rPr>
      </w:pPr>
    </w:p>
    <w:p w14:paraId="4DCE51F2" w14:textId="77777777" w:rsidR="00FB468C" w:rsidRDefault="00FB468C" w:rsidP="003006FE">
      <w:pPr>
        <w:jc w:val="both"/>
        <w:rPr>
          <w:b/>
          <w:bCs/>
          <w:i/>
          <w:iCs/>
          <w:u w:val="single"/>
        </w:rPr>
      </w:pPr>
    </w:p>
    <w:p w14:paraId="1E6D8D04" w14:textId="467D3E5D" w:rsidR="003006FE" w:rsidRDefault="003006FE" w:rsidP="003006FE">
      <w:pPr>
        <w:jc w:val="both"/>
        <w:rPr>
          <w:b/>
          <w:bCs/>
          <w:i/>
          <w:iCs/>
          <w:u w:val="single"/>
        </w:rPr>
      </w:pPr>
      <w:r w:rsidRPr="00326FA1">
        <w:rPr>
          <w:b/>
          <w:bCs/>
          <w:i/>
          <w:iCs/>
          <w:u w:val="single"/>
        </w:rPr>
        <w:t xml:space="preserve">Art. </w:t>
      </w:r>
      <w:r w:rsidR="00DF290B">
        <w:rPr>
          <w:b/>
          <w:bCs/>
          <w:i/>
          <w:iCs/>
          <w:u w:val="single"/>
        </w:rPr>
        <w:t>3</w:t>
      </w:r>
      <w:r w:rsidR="00FB468C">
        <w:rPr>
          <w:b/>
          <w:bCs/>
          <w:i/>
          <w:iCs/>
          <w:u w:val="single"/>
        </w:rPr>
        <w:t>4</w:t>
      </w:r>
      <w:r w:rsidRPr="00326FA1">
        <w:rPr>
          <w:b/>
          <w:bCs/>
          <w:i/>
          <w:iCs/>
          <w:u w:val="single"/>
        </w:rPr>
        <w:t>, lid 3:</w:t>
      </w:r>
    </w:p>
    <w:p w14:paraId="76FB1123" w14:textId="31FE18FD" w:rsidR="007E4301" w:rsidRDefault="00FB468C" w:rsidP="00ED1999">
      <w:pPr>
        <w:rPr>
          <w:i/>
          <w:iCs/>
        </w:rPr>
      </w:pPr>
      <w:r w:rsidRPr="00FB468C">
        <w:rPr>
          <w:i/>
          <w:iCs/>
        </w:rPr>
        <w:t>De steunintensiteit bedraagt ten hoogste 100% van de in aanmerking komende kosten.</w:t>
      </w:r>
    </w:p>
    <w:p w14:paraId="1773011B" w14:textId="77777777" w:rsidR="00FB468C" w:rsidRDefault="00FB468C" w:rsidP="00ED1999"/>
    <w:p w14:paraId="1A34D61C" w14:textId="71C39369" w:rsidR="00ED1999" w:rsidRDefault="00ED1999" w:rsidP="00ED1999">
      <w:r>
        <w:t>Ter kennisname, geen toelichting nodig.</w:t>
      </w:r>
    </w:p>
    <w:p w14:paraId="4F80C5E6" w14:textId="73F8115C" w:rsidR="00ED1999" w:rsidRDefault="00ED1999" w:rsidP="005A73BD">
      <w:pPr>
        <w:jc w:val="both"/>
        <w:rPr>
          <w:b/>
          <w:bCs/>
          <w:i/>
          <w:iCs/>
          <w:u w:val="single"/>
        </w:rPr>
      </w:pPr>
    </w:p>
    <w:p w14:paraId="0EBEDDAD" w14:textId="77777777" w:rsidR="00ED1999" w:rsidRDefault="00ED1999" w:rsidP="005A73BD">
      <w:pPr>
        <w:jc w:val="both"/>
        <w:rPr>
          <w:b/>
          <w:bCs/>
          <w:i/>
          <w:iCs/>
          <w:u w:val="single"/>
        </w:rPr>
      </w:pPr>
    </w:p>
    <w:p w14:paraId="298EC3B3" w14:textId="4B4AF503" w:rsidR="00ED1999" w:rsidRPr="00ED1999" w:rsidRDefault="00ED1999" w:rsidP="00ED1999">
      <w:pPr>
        <w:spacing w:line="280" w:lineRule="atLeast"/>
        <w:rPr>
          <w:b/>
          <w:bCs/>
          <w:i/>
          <w:iCs/>
          <w:u w:val="single"/>
        </w:rPr>
      </w:pPr>
    </w:p>
    <w:sectPr w:rsidR="00ED1999" w:rsidRPr="00ED1999" w:rsidSect="00C76D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76" w:right="226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33438" w14:textId="77777777" w:rsidR="00102CAF" w:rsidRDefault="00102CAF" w:rsidP="00DD409F">
      <w:pPr>
        <w:spacing w:line="240" w:lineRule="auto"/>
      </w:pPr>
      <w:r>
        <w:separator/>
      </w:r>
    </w:p>
  </w:endnote>
  <w:endnote w:type="continuationSeparator" w:id="0">
    <w:p w14:paraId="56A29F86" w14:textId="77777777" w:rsidR="00102CAF" w:rsidRDefault="00102CAF" w:rsidP="00DD4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CA470" w14:textId="77777777" w:rsidR="00EB3089" w:rsidRDefault="00EB308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2E520" w14:textId="2A9F0A16" w:rsidR="007156E4" w:rsidRDefault="007156E4" w:rsidP="007156E4">
    <w:pPr>
      <w:pStyle w:val="Voettekst"/>
      <w:jc w:val="both"/>
      <w:rPr>
        <w:rFonts w:asciiTheme="minorHAnsi" w:hAnsiTheme="minorHAnsi" w:cstheme="minorHAnsi"/>
        <w:b/>
        <w:bCs/>
        <w:color w:val="004A99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A0DE75" wp14:editId="2DC9758C">
          <wp:simplePos x="0" y="0"/>
          <wp:positionH relativeFrom="column">
            <wp:posOffset>4211955</wp:posOffset>
          </wp:positionH>
          <wp:positionV relativeFrom="paragraph">
            <wp:posOffset>-44450</wp:posOffset>
          </wp:positionV>
          <wp:extent cx="2313940" cy="414020"/>
          <wp:effectExtent l="0" t="0" r="0" b="5080"/>
          <wp:wrapThrough wrapText="bothSides">
            <wp:wrapPolygon edited="0">
              <wp:start x="0" y="0"/>
              <wp:lineTo x="0" y="20871"/>
              <wp:lineTo x="5690" y="20871"/>
              <wp:lineTo x="6935" y="20871"/>
              <wp:lineTo x="16182" y="16896"/>
              <wp:lineTo x="16182" y="15902"/>
              <wp:lineTo x="19383" y="6957"/>
              <wp:lineTo x="18850" y="2982"/>
              <wp:lineTo x="5690" y="0"/>
              <wp:lineTo x="0" y="0"/>
            </wp:wrapPolygon>
          </wp:wrapThrough>
          <wp:docPr id="3" name="Afbeelding 3" descr="Europees Logo met tekst medegefinancierd door de Europese Un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4" descr="Europees Logo met tekst medegefinancierd door de Europese Un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bCs/>
        <w:color w:val="004A99"/>
      </w:rPr>
      <w:t xml:space="preserve">Programma </w:t>
    </w:r>
    <w:r w:rsidR="00EC6D3A">
      <w:rPr>
        <w:rFonts w:asciiTheme="minorHAnsi" w:hAnsiTheme="minorHAnsi" w:cstheme="minorHAnsi"/>
        <w:b/>
        <w:bCs/>
        <w:color w:val="004A99"/>
      </w:rPr>
      <w:t>JTF</w:t>
    </w:r>
    <w:r>
      <w:rPr>
        <w:rFonts w:asciiTheme="minorHAnsi" w:hAnsiTheme="minorHAnsi" w:cstheme="minorHAnsi"/>
        <w:b/>
        <w:bCs/>
        <w:color w:val="004A99"/>
      </w:rPr>
      <w:t xml:space="preserve"> 2021-2027</w:t>
    </w:r>
  </w:p>
  <w:p w14:paraId="1BD40E36" w14:textId="77777777" w:rsidR="00EB3089" w:rsidRDefault="00EB308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B8583" w14:textId="77777777" w:rsidR="00EB3089" w:rsidRDefault="00EB308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D8D51" w14:textId="77777777" w:rsidR="00102CAF" w:rsidRPr="00571B71" w:rsidRDefault="00EC6D3A" w:rsidP="00571B71">
      <w:pPr>
        <w:spacing w:line="240" w:lineRule="auto"/>
        <w:rPr>
          <w:sz w:val="14"/>
        </w:rPr>
      </w:pPr>
      <w:r>
        <w:rPr>
          <w:sz w:val="14"/>
        </w:rPr>
        <w:pict w14:anchorId="122F5AA2">
          <v:rect id="_x0000_i1025" style="width:453.6pt;height:1pt" o:hralign="center" o:hrstd="t" o:hrnoshade="t" o:hr="t" fillcolor="black [3213]" stroked="f"/>
        </w:pict>
      </w:r>
    </w:p>
  </w:footnote>
  <w:footnote w:type="continuationSeparator" w:id="0">
    <w:p w14:paraId="7347C7CD" w14:textId="77777777" w:rsidR="00102CAF" w:rsidRPr="00571B71" w:rsidRDefault="00102CAF" w:rsidP="00DD409F">
      <w:pPr>
        <w:spacing w:line="240" w:lineRule="auto"/>
        <w:rPr>
          <w:sz w:val="14"/>
        </w:rPr>
      </w:pPr>
      <w:r w:rsidRPr="00571B71">
        <w:rPr>
          <w:sz w:val="14"/>
        </w:rPr>
        <w:continuationSeparator/>
      </w:r>
    </w:p>
  </w:footnote>
  <w:footnote w:type="continuationNotice" w:id="1">
    <w:p w14:paraId="6F31F187" w14:textId="77777777" w:rsidR="00102CAF" w:rsidRPr="00571B71" w:rsidRDefault="00102CAF" w:rsidP="00AC7021">
      <w:pPr>
        <w:spacing w:line="240" w:lineRule="auto"/>
        <w:ind w:left="284" w:hanging="284"/>
        <w:rPr>
          <w:rFonts w:cs="Arial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64B4B" w14:textId="77777777" w:rsidR="00EB3089" w:rsidRDefault="00EB308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29E2F" w14:textId="77777777" w:rsidR="00EB3089" w:rsidRDefault="00EB308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4EC3" w14:textId="77777777" w:rsidR="00EB3089" w:rsidRDefault="00EB308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Lijstnumm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603041"/>
    <w:multiLevelType w:val="multilevel"/>
    <w:tmpl w:val="E95C2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821DC6"/>
    <w:multiLevelType w:val="hybridMultilevel"/>
    <w:tmpl w:val="C7B4CD64"/>
    <w:lvl w:ilvl="0" w:tplc="2A96165A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664E5"/>
    <w:multiLevelType w:val="multilevel"/>
    <w:tmpl w:val="D6CC1128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7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447EF"/>
    <w:multiLevelType w:val="hybridMultilevel"/>
    <w:tmpl w:val="D6ACFEF4"/>
    <w:lvl w:ilvl="0" w:tplc="B83080B8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7919D8"/>
    <w:multiLevelType w:val="hybridMultilevel"/>
    <w:tmpl w:val="5008B37E"/>
    <w:lvl w:ilvl="0" w:tplc="A23EA0C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557F7"/>
    <w:multiLevelType w:val="hybridMultilevel"/>
    <w:tmpl w:val="45728422"/>
    <w:lvl w:ilvl="0" w:tplc="61429CC2">
      <w:start w:val="1"/>
      <w:numFmt w:val="bullet"/>
      <w:pStyle w:val="LijstBullits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987628">
    <w:abstractNumId w:val="7"/>
  </w:num>
  <w:num w:numId="2" w16cid:durableId="1260142521">
    <w:abstractNumId w:val="3"/>
  </w:num>
  <w:num w:numId="3" w16cid:durableId="808782746">
    <w:abstractNumId w:val="11"/>
  </w:num>
  <w:num w:numId="4" w16cid:durableId="1812553855">
    <w:abstractNumId w:val="6"/>
  </w:num>
  <w:num w:numId="5" w16cid:durableId="1726298870">
    <w:abstractNumId w:val="0"/>
  </w:num>
  <w:num w:numId="6" w16cid:durableId="1669093862">
    <w:abstractNumId w:val="10"/>
  </w:num>
  <w:num w:numId="7" w16cid:durableId="1622301828">
    <w:abstractNumId w:val="1"/>
  </w:num>
  <w:num w:numId="8" w16cid:durableId="1631475024">
    <w:abstractNumId w:val="8"/>
  </w:num>
  <w:num w:numId="9" w16cid:durableId="565531353">
    <w:abstractNumId w:val="5"/>
  </w:num>
  <w:num w:numId="10" w16cid:durableId="158539742">
    <w:abstractNumId w:val="6"/>
  </w:num>
  <w:num w:numId="11" w16cid:durableId="1026952059">
    <w:abstractNumId w:val="6"/>
  </w:num>
  <w:num w:numId="12" w16cid:durableId="2055617663">
    <w:abstractNumId w:val="2"/>
  </w:num>
  <w:num w:numId="13" w16cid:durableId="1543665433">
    <w:abstractNumId w:val="4"/>
  </w:num>
  <w:num w:numId="14" w16cid:durableId="764399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284"/>
  <w:hyphenationZone w:val="425"/>
  <w:characterSpacingControl w:val="doNotCompress"/>
  <w:hdrShapeDefaults>
    <o:shapedefaults v:ext="edit" spidmax="75778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CAF"/>
    <w:rsid w:val="00021666"/>
    <w:rsid w:val="000373D9"/>
    <w:rsid w:val="00072673"/>
    <w:rsid w:val="000D1C37"/>
    <w:rsid w:val="000D3E45"/>
    <w:rsid w:val="000F3550"/>
    <w:rsid w:val="00102CAF"/>
    <w:rsid w:val="00102D36"/>
    <w:rsid w:val="00110A65"/>
    <w:rsid w:val="00114B25"/>
    <w:rsid w:val="001248A8"/>
    <w:rsid w:val="00147844"/>
    <w:rsid w:val="00157BCE"/>
    <w:rsid w:val="00185309"/>
    <w:rsid w:val="001955D0"/>
    <w:rsid w:val="00197612"/>
    <w:rsid w:val="001B5673"/>
    <w:rsid w:val="001B5BF7"/>
    <w:rsid w:val="001C517A"/>
    <w:rsid w:val="001D03DE"/>
    <w:rsid w:val="00201945"/>
    <w:rsid w:val="00211907"/>
    <w:rsid w:val="00223155"/>
    <w:rsid w:val="00267E3F"/>
    <w:rsid w:val="0028560D"/>
    <w:rsid w:val="002A1800"/>
    <w:rsid w:val="002A40B7"/>
    <w:rsid w:val="002A62AB"/>
    <w:rsid w:val="002C0F9A"/>
    <w:rsid w:val="002D53F5"/>
    <w:rsid w:val="002D7EE3"/>
    <w:rsid w:val="002F2904"/>
    <w:rsid w:val="003006FE"/>
    <w:rsid w:val="00304109"/>
    <w:rsid w:val="003242A0"/>
    <w:rsid w:val="00326FA1"/>
    <w:rsid w:val="003408E8"/>
    <w:rsid w:val="00343FA7"/>
    <w:rsid w:val="0034652F"/>
    <w:rsid w:val="003812AF"/>
    <w:rsid w:val="003849F9"/>
    <w:rsid w:val="003950D3"/>
    <w:rsid w:val="003D6486"/>
    <w:rsid w:val="004138C8"/>
    <w:rsid w:val="00414E29"/>
    <w:rsid w:val="0042793D"/>
    <w:rsid w:val="00447DEC"/>
    <w:rsid w:val="00452EBF"/>
    <w:rsid w:val="00454CF1"/>
    <w:rsid w:val="00455B0E"/>
    <w:rsid w:val="004622C9"/>
    <w:rsid w:val="00465D20"/>
    <w:rsid w:val="0047090C"/>
    <w:rsid w:val="00495FA1"/>
    <w:rsid w:val="004C76F8"/>
    <w:rsid w:val="004D0AB4"/>
    <w:rsid w:val="004D55F1"/>
    <w:rsid w:val="004D7111"/>
    <w:rsid w:val="00524790"/>
    <w:rsid w:val="005471E0"/>
    <w:rsid w:val="00556EF5"/>
    <w:rsid w:val="00557C5B"/>
    <w:rsid w:val="00571B15"/>
    <w:rsid w:val="00571B71"/>
    <w:rsid w:val="005831C5"/>
    <w:rsid w:val="005A0EE6"/>
    <w:rsid w:val="005A73BD"/>
    <w:rsid w:val="005C1E2B"/>
    <w:rsid w:val="005D4A60"/>
    <w:rsid w:val="005E6B57"/>
    <w:rsid w:val="005F34FE"/>
    <w:rsid w:val="005F60F6"/>
    <w:rsid w:val="00615E39"/>
    <w:rsid w:val="00621815"/>
    <w:rsid w:val="00622124"/>
    <w:rsid w:val="00627D64"/>
    <w:rsid w:val="00630F0B"/>
    <w:rsid w:val="00650DB0"/>
    <w:rsid w:val="006571CE"/>
    <w:rsid w:val="00685E27"/>
    <w:rsid w:val="006A53D1"/>
    <w:rsid w:val="006D3559"/>
    <w:rsid w:val="006F05CC"/>
    <w:rsid w:val="006F631B"/>
    <w:rsid w:val="006F6F4B"/>
    <w:rsid w:val="007045B8"/>
    <w:rsid w:val="007156E4"/>
    <w:rsid w:val="0075030E"/>
    <w:rsid w:val="007840F7"/>
    <w:rsid w:val="007C4344"/>
    <w:rsid w:val="007E4301"/>
    <w:rsid w:val="007F3ECE"/>
    <w:rsid w:val="007F5D2B"/>
    <w:rsid w:val="00815614"/>
    <w:rsid w:val="00821B86"/>
    <w:rsid w:val="00822991"/>
    <w:rsid w:val="00834F47"/>
    <w:rsid w:val="008418FE"/>
    <w:rsid w:val="00877CD3"/>
    <w:rsid w:val="00881667"/>
    <w:rsid w:val="008858B5"/>
    <w:rsid w:val="00893CDE"/>
    <w:rsid w:val="008C4B99"/>
    <w:rsid w:val="008E68F2"/>
    <w:rsid w:val="00912F32"/>
    <w:rsid w:val="009226F1"/>
    <w:rsid w:val="00925438"/>
    <w:rsid w:val="0093269F"/>
    <w:rsid w:val="00941F21"/>
    <w:rsid w:val="009436D9"/>
    <w:rsid w:val="0098669E"/>
    <w:rsid w:val="00995CA7"/>
    <w:rsid w:val="00996F85"/>
    <w:rsid w:val="009A7A6D"/>
    <w:rsid w:val="009C31BE"/>
    <w:rsid w:val="009D5089"/>
    <w:rsid w:val="00A01C22"/>
    <w:rsid w:val="00A30351"/>
    <w:rsid w:val="00A76A29"/>
    <w:rsid w:val="00AC7021"/>
    <w:rsid w:val="00AD1F75"/>
    <w:rsid w:val="00AF6D7F"/>
    <w:rsid w:val="00B017C8"/>
    <w:rsid w:val="00B06DEE"/>
    <w:rsid w:val="00B1495E"/>
    <w:rsid w:val="00B216D8"/>
    <w:rsid w:val="00B51362"/>
    <w:rsid w:val="00B769B1"/>
    <w:rsid w:val="00B83C70"/>
    <w:rsid w:val="00BA3684"/>
    <w:rsid w:val="00BB0726"/>
    <w:rsid w:val="00BB6462"/>
    <w:rsid w:val="00BE1B48"/>
    <w:rsid w:val="00BF2E34"/>
    <w:rsid w:val="00C344BC"/>
    <w:rsid w:val="00C376F7"/>
    <w:rsid w:val="00C47F95"/>
    <w:rsid w:val="00C62B9B"/>
    <w:rsid w:val="00C72E38"/>
    <w:rsid w:val="00C76D71"/>
    <w:rsid w:val="00C80912"/>
    <w:rsid w:val="00C93E9E"/>
    <w:rsid w:val="00CB4578"/>
    <w:rsid w:val="00CD1E0D"/>
    <w:rsid w:val="00D1166C"/>
    <w:rsid w:val="00D1255B"/>
    <w:rsid w:val="00D40777"/>
    <w:rsid w:val="00D50155"/>
    <w:rsid w:val="00D548EE"/>
    <w:rsid w:val="00D7141E"/>
    <w:rsid w:val="00D8134C"/>
    <w:rsid w:val="00D832AA"/>
    <w:rsid w:val="00D842D8"/>
    <w:rsid w:val="00D95557"/>
    <w:rsid w:val="00DA27F6"/>
    <w:rsid w:val="00DA6C3D"/>
    <w:rsid w:val="00DB5269"/>
    <w:rsid w:val="00DD409F"/>
    <w:rsid w:val="00DF290B"/>
    <w:rsid w:val="00E005DA"/>
    <w:rsid w:val="00E01953"/>
    <w:rsid w:val="00E01DCF"/>
    <w:rsid w:val="00E227AA"/>
    <w:rsid w:val="00E229CF"/>
    <w:rsid w:val="00E43808"/>
    <w:rsid w:val="00E47110"/>
    <w:rsid w:val="00E51BDE"/>
    <w:rsid w:val="00E7133A"/>
    <w:rsid w:val="00E7563F"/>
    <w:rsid w:val="00E817DA"/>
    <w:rsid w:val="00EB3089"/>
    <w:rsid w:val="00EC003B"/>
    <w:rsid w:val="00EC2A89"/>
    <w:rsid w:val="00EC6D3A"/>
    <w:rsid w:val="00ED1999"/>
    <w:rsid w:val="00ED1D74"/>
    <w:rsid w:val="00EE515E"/>
    <w:rsid w:val="00EF4900"/>
    <w:rsid w:val="00F0657F"/>
    <w:rsid w:val="00F13C3C"/>
    <w:rsid w:val="00F23A27"/>
    <w:rsid w:val="00F26463"/>
    <w:rsid w:val="00F37531"/>
    <w:rsid w:val="00F5399E"/>
    <w:rsid w:val="00F55147"/>
    <w:rsid w:val="00F600BE"/>
    <w:rsid w:val="00F635D2"/>
    <w:rsid w:val="00F8174D"/>
    <w:rsid w:val="00F82C28"/>
    <w:rsid w:val="00F9314C"/>
    <w:rsid w:val="00F953EF"/>
    <w:rsid w:val="00FA3B14"/>
    <w:rsid w:val="00FA4F00"/>
    <w:rsid w:val="00FB0384"/>
    <w:rsid w:val="00FB42F5"/>
    <w:rsid w:val="00FB468C"/>
    <w:rsid w:val="00FD3202"/>
    <w:rsid w:val="00FD48E7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  <w14:docId w14:val="58F310CA"/>
  <w15:chartTrackingRefBased/>
  <w15:docId w15:val="{DD59A4BF-3CAB-4448-99F0-93B2E598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line="280" w:lineRule="atLeast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.Standaard,PG Normaal (standaard)"/>
    <w:qFormat/>
    <w:rsid w:val="004C76F8"/>
    <w:pPr>
      <w:spacing w:line="280" w:lineRule="exact"/>
      <w:ind w:left="0" w:firstLine="0"/>
    </w:pPr>
  </w:style>
  <w:style w:type="paragraph" w:styleId="Kop1">
    <w:name w:val="heading 1"/>
    <w:aliases w:val="Kop 1 +nr Hoofdstuk genummerd"/>
    <w:next w:val="Standaard"/>
    <w:link w:val="Kop1Char"/>
    <w:autoRedefine/>
    <w:uiPriority w:val="9"/>
    <w:qFormat/>
    <w:rsid w:val="00EF4900"/>
    <w:pPr>
      <w:keepNext/>
      <w:keepLines/>
      <w:numPr>
        <w:numId w:val="4"/>
      </w:numPr>
      <w:tabs>
        <w:tab w:val="left" w:pos="851"/>
      </w:tabs>
      <w:outlineLvl w:val="0"/>
    </w:pPr>
    <w:rPr>
      <w:rFonts w:eastAsiaTheme="majorEastAsia" w:cstheme="majorBidi"/>
      <w:sz w:val="24"/>
      <w:szCs w:val="32"/>
    </w:rPr>
  </w:style>
  <w:style w:type="paragraph" w:styleId="Kop2">
    <w:name w:val="heading 2"/>
    <w:aliases w:val="Kop 2+nr Paragraafkop genummerd"/>
    <w:basedOn w:val="Kop1"/>
    <w:next w:val="Standaard"/>
    <w:link w:val="Kop2Char"/>
    <w:uiPriority w:val="9"/>
    <w:unhideWhenUsed/>
    <w:qFormat/>
    <w:rsid w:val="009226F1"/>
    <w:pPr>
      <w:numPr>
        <w:ilvl w:val="1"/>
      </w:numPr>
      <w:outlineLvl w:val="1"/>
    </w:pPr>
    <w:rPr>
      <w:b/>
      <w:sz w:val="20"/>
      <w:szCs w:val="26"/>
    </w:rPr>
  </w:style>
  <w:style w:type="paragraph" w:styleId="Kop3">
    <w:name w:val="heading 3"/>
    <w:aliases w:val="Kop 3+nr Subparagraafkop genummerd"/>
    <w:basedOn w:val="Kop2"/>
    <w:next w:val="Standaard"/>
    <w:link w:val="Kop3Char"/>
    <w:uiPriority w:val="9"/>
    <w:unhideWhenUsed/>
    <w:qFormat/>
    <w:rsid w:val="006D3559"/>
    <w:pPr>
      <w:numPr>
        <w:ilvl w:val="2"/>
      </w:numPr>
      <w:contextualSpacing/>
      <w:outlineLvl w:val="2"/>
    </w:pPr>
    <w:rPr>
      <w:b w:val="0"/>
      <w:szCs w:val="24"/>
    </w:rPr>
  </w:style>
  <w:style w:type="paragraph" w:styleId="Kop4">
    <w:name w:val="heading 4"/>
    <w:aliases w:val="Kop 4 Tussenkop"/>
    <w:basedOn w:val="Standaard"/>
    <w:next w:val="Standaard"/>
    <w:link w:val="Kop4Char"/>
    <w:uiPriority w:val="9"/>
    <w:unhideWhenUsed/>
    <w:qFormat/>
    <w:rsid w:val="001C517A"/>
    <w:pPr>
      <w:keepNext/>
      <w:keepLines/>
      <w:outlineLvl w:val="3"/>
    </w:pPr>
    <w:rPr>
      <w:rFonts w:eastAsiaTheme="majorEastAsia" w:cstheme="majorBidi"/>
      <w:b/>
      <w:iCs/>
      <w:sz w:val="1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0D3E45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3E45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3E45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3E45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3E45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+nr Hoofdstuk genummerd Char"/>
    <w:basedOn w:val="Standaardalinea-lettertype"/>
    <w:link w:val="Kop1"/>
    <w:uiPriority w:val="9"/>
    <w:rsid w:val="00EF4900"/>
    <w:rPr>
      <w:rFonts w:ascii="Arial" w:eastAsiaTheme="majorEastAsia" w:hAnsi="Arial" w:cstheme="majorBidi"/>
      <w:sz w:val="24"/>
      <w:szCs w:val="32"/>
    </w:rPr>
  </w:style>
  <w:style w:type="paragraph" w:customStyle="1" w:styleId="Tabelbijschriftafbeeldingbijschrift">
    <w:name w:val="Tabelbijschrift+afbeeldingbijschrift"/>
    <w:basedOn w:val="Standaard"/>
    <w:link w:val="TabelbijschriftafbeeldingbijschriftChar"/>
    <w:qFormat/>
    <w:rsid w:val="00021666"/>
    <w:rPr>
      <w:sz w:val="16"/>
    </w:rPr>
  </w:style>
  <w:style w:type="character" w:customStyle="1" w:styleId="Kop2Char">
    <w:name w:val="Kop 2 Char"/>
    <w:aliases w:val="Kop 2+nr Paragraafkop genummerd Char"/>
    <w:basedOn w:val="Standaardalinea-lettertype"/>
    <w:link w:val="Kop2"/>
    <w:uiPriority w:val="9"/>
    <w:rsid w:val="009226F1"/>
    <w:rPr>
      <w:rFonts w:ascii="Arial" w:eastAsiaTheme="majorEastAsia" w:hAnsi="Arial" w:cstheme="majorBidi"/>
      <w:b/>
      <w:sz w:val="20"/>
      <w:szCs w:val="26"/>
    </w:rPr>
  </w:style>
  <w:style w:type="character" w:customStyle="1" w:styleId="Kop3Char">
    <w:name w:val="Kop 3 Char"/>
    <w:aliases w:val="Kop 3+nr Subparagraafkop genummerd Char"/>
    <w:basedOn w:val="Standaardalinea-lettertype"/>
    <w:link w:val="Kop3"/>
    <w:uiPriority w:val="9"/>
    <w:rsid w:val="006D3559"/>
    <w:rPr>
      <w:rFonts w:ascii="Arial" w:eastAsiaTheme="majorEastAsia" w:hAnsi="Arial" w:cstheme="majorBidi"/>
      <w:sz w:val="20"/>
      <w:szCs w:val="24"/>
    </w:rPr>
  </w:style>
  <w:style w:type="paragraph" w:customStyle="1" w:styleId="LijstBullits">
    <w:name w:val="Lijst Bullits"/>
    <w:basedOn w:val="Standaard"/>
    <w:link w:val="LijstBullitsChar"/>
    <w:qFormat/>
    <w:rsid w:val="001955D0"/>
    <w:pPr>
      <w:numPr>
        <w:numId w:val="6"/>
      </w:numPr>
      <w:contextualSpacing/>
    </w:pPr>
  </w:style>
  <w:style w:type="paragraph" w:customStyle="1" w:styleId="Lijstnummers">
    <w:name w:val="Lijst nummers"/>
    <w:basedOn w:val="Standaard"/>
    <w:link w:val="LijstnummersChar"/>
    <w:qFormat/>
    <w:rsid w:val="00571B15"/>
    <w:pPr>
      <w:numPr>
        <w:numId w:val="7"/>
      </w:numPr>
      <w:contextualSpacing/>
    </w:pPr>
  </w:style>
  <w:style w:type="character" w:customStyle="1" w:styleId="TabelbijschriftafbeeldingbijschriftChar">
    <w:name w:val="Tabelbijschrift+afbeeldingbijschrift Char"/>
    <w:basedOn w:val="Standaardalinea-lettertype"/>
    <w:link w:val="Tabelbijschriftafbeeldingbijschrift"/>
    <w:rsid w:val="00021666"/>
    <w:rPr>
      <w:rFonts w:ascii="Arial" w:hAnsi="Arial"/>
      <w:sz w:val="16"/>
    </w:rPr>
  </w:style>
  <w:style w:type="character" w:customStyle="1" w:styleId="LijstBullitsChar">
    <w:name w:val="Lijst Bullits Char"/>
    <w:basedOn w:val="Standaardalinea-lettertype"/>
    <w:link w:val="LijstBullits"/>
    <w:rsid w:val="001955D0"/>
    <w:rPr>
      <w:rFonts w:ascii="Georgia" w:hAnsi="Georgia"/>
      <w:sz w:val="19"/>
    </w:rPr>
  </w:style>
  <w:style w:type="character" w:customStyle="1" w:styleId="LijstnummersChar">
    <w:name w:val="Lijst nummers Char"/>
    <w:basedOn w:val="Standaardalinea-lettertype"/>
    <w:link w:val="Lijstnummers"/>
    <w:rsid w:val="00571B15"/>
    <w:rPr>
      <w:rFonts w:ascii="Georgia" w:hAnsi="Georgia"/>
      <w:sz w:val="19"/>
    </w:rPr>
  </w:style>
  <w:style w:type="character" w:customStyle="1" w:styleId="Kop4Char">
    <w:name w:val="Kop 4 Char"/>
    <w:aliases w:val="Kop 4 Tussenkop Char"/>
    <w:basedOn w:val="Standaardalinea-lettertype"/>
    <w:link w:val="Kop4"/>
    <w:uiPriority w:val="9"/>
    <w:rsid w:val="001C517A"/>
    <w:rPr>
      <w:rFonts w:ascii="Arial" w:eastAsiaTheme="majorEastAsia" w:hAnsi="Arial" w:cstheme="majorBidi"/>
      <w:b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5399E"/>
    <w:rPr>
      <w:rFonts w:asciiTheme="majorHAnsi" w:eastAsiaTheme="majorEastAsia" w:hAnsiTheme="majorHAnsi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5399E"/>
    <w:rPr>
      <w:rFonts w:asciiTheme="majorHAnsi" w:eastAsiaTheme="majorEastAsia" w:hAnsiTheme="majorHAnsi" w:cstheme="majorBidi"/>
      <w:color w:val="1F3763" w:themeColor="accent1" w:themeShade="7F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5399E"/>
    <w:rPr>
      <w:rFonts w:asciiTheme="majorHAnsi" w:eastAsiaTheme="majorEastAsia" w:hAnsiTheme="majorHAnsi" w:cstheme="majorBidi"/>
      <w:i/>
      <w:iCs/>
      <w:color w:val="1F3763" w:themeColor="accent1" w:themeShade="7F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539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539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oetnoottekst">
    <w:name w:val="footnote text"/>
    <w:basedOn w:val="Standaard"/>
    <w:link w:val="VoetnoottekstChar"/>
    <w:uiPriority w:val="99"/>
    <w:unhideWhenUsed/>
    <w:rsid w:val="002A40B7"/>
    <w:pPr>
      <w:tabs>
        <w:tab w:val="left" w:pos="284"/>
      </w:tabs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2A40B7"/>
    <w:rPr>
      <w:rFonts w:ascii="Arial" w:hAnsi="Arial"/>
      <w:sz w:val="14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85E27"/>
    <w:rPr>
      <w:rFonts w:ascii="Arial" w:hAnsi="Arial"/>
      <w:sz w:val="14"/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AF6D7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6D7F"/>
    <w:rPr>
      <w:rFonts w:ascii="Georgia" w:hAnsi="Georgia"/>
      <w:sz w:val="19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F6D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6D7F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197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  <w:lang w:eastAsia="nl-NL"/>
    </w:rPr>
  </w:style>
  <w:style w:type="paragraph" w:styleId="Lijstalinea">
    <w:name w:val="List Paragraph"/>
    <w:basedOn w:val="Standaard"/>
    <w:uiPriority w:val="34"/>
    <w:rsid w:val="00FA3B1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77CD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77CD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77CD3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77CD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77CD3"/>
    <w:rPr>
      <w:b/>
      <w:bCs/>
      <w:szCs w:val="20"/>
    </w:rPr>
  </w:style>
  <w:style w:type="paragraph" w:styleId="Revisie">
    <w:name w:val="Revision"/>
    <w:hidden/>
    <w:uiPriority w:val="99"/>
    <w:semiHidden/>
    <w:rsid w:val="0047090C"/>
    <w:pPr>
      <w:spacing w:line="240" w:lineRule="auto"/>
      <w:ind w:left="0" w:firstLine="0"/>
    </w:pPr>
  </w:style>
  <w:style w:type="character" w:styleId="Hyperlink">
    <w:name w:val="Hyperlink"/>
    <w:basedOn w:val="Standaardalinea-lettertype"/>
    <w:uiPriority w:val="99"/>
    <w:unhideWhenUsed/>
    <w:rsid w:val="00C47F95"/>
    <w:rPr>
      <w:color w:val="0000FF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2212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22124"/>
    <w:rPr>
      <w:color w:val="954F72" w:themeColor="followed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rsid w:val="00C76D7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6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C76D7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6D71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styleId="Subtielebenadrukking">
    <w:name w:val="Subtle Emphasis"/>
    <w:basedOn w:val="Standaardalinea-lettertype"/>
    <w:uiPriority w:val="19"/>
    <w:rsid w:val="00C76D71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rsid w:val="00C76D71"/>
    <w:rPr>
      <w:i/>
      <w:iCs/>
    </w:rPr>
  </w:style>
  <w:style w:type="character" w:styleId="Intensievebenadrukking">
    <w:name w:val="Intense Emphasis"/>
    <w:basedOn w:val="Standaardalinea-lettertype"/>
    <w:uiPriority w:val="21"/>
    <w:rsid w:val="00C76D71"/>
    <w:rPr>
      <w:i/>
      <w:iCs/>
      <w:color w:val="4472C4" w:themeColor="accent1"/>
    </w:rPr>
  </w:style>
  <w:style w:type="character" w:styleId="Zwaar">
    <w:name w:val="Strong"/>
    <w:basedOn w:val="Standaardalinea-lettertype"/>
    <w:uiPriority w:val="22"/>
    <w:rsid w:val="00C76D71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rsid w:val="00C76D7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76D71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C76D7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6D71"/>
    <w:rPr>
      <w:i/>
      <w:iCs/>
      <w:color w:val="4472C4" w:themeColor="accent1"/>
    </w:rPr>
  </w:style>
  <w:style w:type="character" w:styleId="Titelvanboek">
    <w:name w:val="Book Title"/>
    <w:basedOn w:val="Standaardalinea-lettertype"/>
    <w:uiPriority w:val="33"/>
    <w:rsid w:val="00C76D71"/>
    <w:rPr>
      <w:b/>
      <w:bCs/>
      <w:i/>
      <w:iC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B30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3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8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43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2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5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NL/TXT/PDF/?uri=CELEX:32014R0651&amp;from=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dcb2a4-cf8d-4370-96a7-ea7733aac473">
      <Terms xmlns="http://schemas.microsoft.com/office/infopath/2007/PartnerControls"/>
    </lcf76f155ced4ddcb4097134ff3c332f>
    <TaxCatchAll xmlns="53488529-b61a-446c-bc3c-940c1e2fbf4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D56284B09D046B46D88F2B24AA64A" ma:contentTypeVersion="14" ma:contentTypeDescription="Een nieuw document maken." ma:contentTypeScope="" ma:versionID="fe98e8c221f35a196cfc3d3864f3ca24">
  <xsd:schema xmlns:xsd="http://www.w3.org/2001/XMLSchema" xmlns:xs="http://www.w3.org/2001/XMLSchema" xmlns:p="http://schemas.microsoft.com/office/2006/metadata/properties" xmlns:ns2="3ddcb2a4-cf8d-4370-96a7-ea7733aac473" xmlns:ns3="3b425e72-3b13-4f1f-a35b-bdc466a72742" xmlns:ns4="53488529-b61a-446c-bc3c-940c1e2fbf47" targetNamespace="http://schemas.microsoft.com/office/2006/metadata/properties" ma:root="true" ma:fieldsID="45cc86d6ce0f88e0bf872331cb71b18e" ns2:_="" ns3:_="" ns4:_="">
    <xsd:import namespace="3ddcb2a4-cf8d-4370-96a7-ea7733aac473"/>
    <xsd:import namespace="3b425e72-3b13-4f1f-a35b-bdc466a72742"/>
    <xsd:import namespace="53488529-b61a-446c-bc3c-940c1e2fb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cb2a4-cf8d-4370-96a7-ea7733aac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2029dec-8b0d-4d68-80c4-6be424f3e9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25e72-3b13-4f1f-a35b-bdc466a727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88529-b61a-446c-bc3c-940c1e2fbf4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727c27-d40e-4e14-bf34-e5092ca84208}" ma:internalName="TaxCatchAll" ma:showField="CatchAllData" ma:web="3b425e72-3b13-4f1f-a35b-bdc466a72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B3CF58-00FC-4312-9649-9EA85FC7FE92}">
  <ds:schemaRefs>
    <ds:schemaRef ds:uri="http://schemas.microsoft.com/office/2006/metadata/properties"/>
    <ds:schemaRef ds:uri="http://schemas.microsoft.com/office/infopath/2007/PartnerControls"/>
    <ds:schemaRef ds:uri="3251086a-4173-45aa-a638-81eb6a300a7f"/>
  </ds:schemaRefs>
</ds:datastoreItem>
</file>

<file path=customXml/itemProps2.xml><?xml version="1.0" encoding="utf-8"?>
<ds:datastoreItem xmlns:ds="http://schemas.openxmlformats.org/officeDocument/2006/customXml" ds:itemID="{32CB8DF4-E91E-4747-8AB9-5EF4C2D80E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A7B7D3-674D-49DF-B516-FA5839A46C24}"/>
</file>

<file path=customXml/itemProps4.xml><?xml version="1.0" encoding="utf-8"?>
<ds:datastoreItem xmlns:ds="http://schemas.openxmlformats.org/officeDocument/2006/customXml" ds:itemID="{C0ED2F24-C45E-499A-8209-6086B532B8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Gouw, Roeland</dc:creator>
  <cp:keywords/>
  <dc:description/>
  <cp:lastModifiedBy>Ingmar Voorhaar</cp:lastModifiedBy>
  <cp:revision>3</cp:revision>
  <cp:lastPrinted>2019-11-18T13:40:00Z</cp:lastPrinted>
  <dcterms:created xsi:type="dcterms:W3CDTF">2023-10-03T10:47:00Z</dcterms:created>
  <dcterms:modified xsi:type="dcterms:W3CDTF">2023-10-18T07:37:00Z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0x0101002D0D56284B09D046B46D88F2B24AA64A</vt:lpwstr>
  </property>
</Properties>
</file>