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EF716" w14:textId="77777777" w:rsidR="00A42DDE" w:rsidRDefault="00A42DDE" w:rsidP="00102CAF">
      <w:pPr>
        <w:rPr>
          <w:rStyle w:val="Kop1Char"/>
          <w:b/>
          <w:bCs/>
          <w:sz w:val="28"/>
          <w:szCs w:val="28"/>
        </w:rPr>
      </w:pPr>
      <w:bookmarkStart w:id="0" w:name="_Hlk87387065"/>
      <w:r w:rsidRPr="00C76D71">
        <w:rPr>
          <w:rStyle w:val="Kop1Char"/>
          <w:b/>
          <w:bCs/>
          <w:sz w:val="28"/>
          <w:szCs w:val="28"/>
        </w:rPr>
        <w:t>Formulier staatssteunanalyse</w:t>
      </w:r>
      <w:bookmarkEnd w:id="0"/>
    </w:p>
    <w:p w14:paraId="77C6AAF5" w14:textId="77777777" w:rsidR="00A42DDE" w:rsidRDefault="00A42DDE" w:rsidP="00102CAF">
      <w:pPr>
        <w:rPr>
          <w:rStyle w:val="Kop1Char"/>
          <w:b/>
          <w:bCs/>
          <w:sz w:val="28"/>
          <w:szCs w:val="28"/>
        </w:rPr>
      </w:pPr>
    </w:p>
    <w:p w14:paraId="35D90EB2" w14:textId="34CB41BD" w:rsidR="00102CAF" w:rsidRDefault="00A42DDE" w:rsidP="00102CAF">
      <w:r w:rsidRPr="00A42DDE">
        <w:rPr>
          <w:rStyle w:val="Kop1Char"/>
          <w:rFonts w:cs="Arial"/>
          <w:b/>
          <w:bCs/>
          <w:szCs w:val="24"/>
        </w:rPr>
        <w:t xml:space="preserve">Artikel 38: </w:t>
      </w:r>
      <w:r w:rsidRPr="00A42DDE">
        <w:rPr>
          <w:rFonts w:cs="Arial"/>
          <w:sz w:val="24"/>
          <w:szCs w:val="24"/>
        </w:rPr>
        <w:t xml:space="preserve"> </w:t>
      </w:r>
      <w:r w:rsidR="009E02E7" w:rsidRPr="009E02E7">
        <w:rPr>
          <w:rFonts w:cs="Arial"/>
          <w:b/>
          <w:bCs/>
          <w:sz w:val="24"/>
          <w:szCs w:val="24"/>
        </w:rPr>
        <w:t>Investeringssteun voor andere energie-efficiëntiemaatregelen dan in gebouwen</w:t>
      </w:r>
      <w:r>
        <w:br/>
      </w:r>
    </w:p>
    <w:p w14:paraId="01C1ED5E" w14:textId="34574B9F" w:rsidR="00A42DDE" w:rsidRPr="00615E39" w:rsidRDefault="00A42DDE" w:rsidP="00A42DDE">
      <w:pPr>
        <w:rPr>
          <w:b/>
          <w:bCs/>
          <w:u w:val="single"/>
        </w:rPr>
      </w:pPr>
      <w:bookmarkStart w:id="1" w:name="_Hlk87386336"/>
      <w:r>
        <w:rPr>
          <w:b/>
          <w:bCs/>
          <w:u w:val="single"/>
        </w:rPr>
        <w:br/>
      </w:r>
      <w:r w:rsidRPr="00615E39">
        <w:rPr>
          <w:b/>
          <w:bCs/>
          <w:u w:val="single"/>
        </w:rPr>
        <w:t>Inleiding</w:t>
      </w:r>
    </w:p>
    <w:p w14:paraId="07BBE507" w14:textId="22EAEF92" w:rsidR="00A42DDE" w:rsidRPr="00495FA1" w:rsidRDefault="00A42DDE" w:rsidP="00E335A0">
      <w:pPr>
        <w:jc w:val="both"/>
      </w:pPr>
      <w:r w:rsidRPr="00495FA1">
        <w:t xml:space="preserve">Om subsidie te mogen toekennen aan een project, moeten de activiteiten ‘staatssteunproof’ zijn. De Europese Commissie noemt de nodige voorwaarden op basis waarvan staatssteun mag worden verleend. Deze voorwaarden worden toegelicht in de artikelen van de zogenaamde </w:t>
      </w:r>
      <w:hyperlink r:id="rId11" w:history="1">
        <w:r w:rsidRPr="00495FA1">
          <w:rPr>
            <w:rStyle w:val="Hyperlink"/>
            <w:color w:val="auto"/>
          </w:rPr>
          <w:t>Algemene Groepsvrijstellingsverordening </w:t>
        </w:r>
      </w:hyperlink>
      <w:r w:rsidRPr="00495FA1">
        <w:t>(AGVV).</w:t>
      </w:r>
    </w:p>
    <w:p w14:paraId="4E4DE1A9" w14:textId="77777777" w:rsidR="00A42DDE" w:rsidRPr="00495FA1" w:rsidRDefault="00A42DDE" w:rsidP="00E335A0">
      <w:pPr>
        <w:jc w:val="both"/>
      </w:pPr>
    </w:p>
    <w:p w14:paraId="5D4F6628" w14:textId="77777777" w:rsidR="00E335A0" w:rsidRDefault="00A42DDE" w:rsidP="00E335A0">
      <w:pPr>
        <w:jc w:val="both"/>
      </w:pPr>
      <w:r w:rsidRPr="00495FA1">
        <w:t>Eén van de artikelen die gebruikt k</w:t>
      </w:r>
      <w:r>
        <w:t>an</w:t>
      </w:r>
      <w:r w:rsidRPr="00495FA1">
        <w:t xml:space="preserve"> worden is artikel </w:t>
      </w:r>
      <w:r>
        <w:t>38</w:t>
      </w:r>
      <w:r w:rsidRPr="00495FA1">
        <w:t xml:space="preserve">. Dit artikel gaat over </w:t>
      </w:r>
      <w:r w:rsidR="0070659C">
        <w:t>investeringssteun ten behoeve van energie-efficiëntiemaatregelen</w:t>
      </w:r>
      <w:r w:rsidR="00E335A0">
        <w:t>.</w:t>
      </w:r>
    </w:p>
    <w:p w14:paraId="1CD6EFFF" w14:textId="4B6ADA8E" w:rsidR="00A42DDE" w:rsidRDefault="00A42DDE" w:rsidP="00E335A0">
      <w:pPr>
        <w:jc w:val="both"/>
      </w:pPr>
      <w:r w:rsidRPr="00495FA1">
        <w:br/>
        <w:t>In d</w:t>
      </w:r>
      <w:r>
        <w:t xml:space="preserve">it </w:t>
      </w:r>
      <w:bookmarkStart w:id="2" w:name="_Hlk87387108"/>
      <w:r>
        <w:t xml:space="preserve">formulier </w:t>
      </w:r>
      <w:r w:rsidRPr="00495FA1">
        <w:t>staatssteun</w:t>
      </w:r>
      <w:r>
        <w:t>analyse</w:t>
      </w:r>
      <w:r w:rsidRPr="00495FA1">
        <w:t xml:space="preserve"> </w:t>
      </w:r>
      <w:bookmarkEnd w:id="2"/>
      <w:r w:rsidRPr="00495FA1">
        <w:t xml:space="preserve">is het aan de aanvrager om in de tekstvakken, per lid van artikel </w:t>
      </w:r>
      <w:r>
        <w:t>38</w:t>
      </w:r>
      <w:r w:rsidRPr="00495FA1">
        <w:t xml:space="preserve">, aan te geven waarom het project voldoet aan de gestelde voorwaarden. </w:t>
      </w:r>
      <w:r>
        <w:br/>
      </w:r>
    </w:p>
    <w:p w14:paraId="7CC1CB7F" w14:textId="77777777" w:rsidR="00A42DDE" w:rsidRDefault="00A42DDE" w:rsidP="00E335A0">
      <w:pPr>
        <w:jc w:val="both"/>
      </w:pPr>
      <w:r>
        <w:t xml:space="preserve">Let op: u geeft een toelichting in de tekstblokken.  </w:t>
      </w:r>
    </w:p>
    <w:bookmarkEnd w:id="1"/>
    <w:p w14:paraId="160610DF" w14:textId="77777777" w:rsidR="00A42DDE" w:rsidRDefault="00A42DDE" w:rsidP="00E335A0">
      <w:pPr>
        <w:jc w:val="both"/>
      </w:pPr>
    </w:p>
    <w:p w14:paraId="4D1DAA4F" w14:textId="44BF61A0" w:rsidR="00102CAF" w:rsidRDefault="00102CAF" w:rsidP="00E335A0">
      <w:pPr>
        <w:jc w:val="both"/>
      </w:pPr>
    </w:p>
    <w:p w14:paraId="7D110DAA" w14:textId="37BB4111" w:rsidR="00A42DDE" w:rsidRDefault="00A42DDE" w:rsidP="00E335A0">
      <w:pPr>
        <w:jc w:val="both"/>
      </w:pPr>
      <w:bookmarkStart w:id="3" w:name="_Hlk87387140"/>
      <w:r w:rsidRPr="00326FA1">
        <w:rPr>
          <w:b/>
          <w:bCs/>
          <w:i/>
          <w:iCs/>
          <w:u w:val="single"/>
        </w:rPr>
        <w:t xml:space="preserve">Art </w:t>
      </w:r>
      <w:r>
        <w:rPr>
          <w:b/>
          <w:bCs/>
          <w:i/>
          <w:iCs/>
          <w:u w:val="single"/>
        </w:rPr>
        <w:t>38</w:t>
      </w:r>
      <w:r w:rsidRPr="00326FA1">
        <w:rPr>
          <w:b/>
          <w:bCs/>
          <w:i/>
          <w:iCs/>
          <w:u w:val="single"/>
        </w:rPr>
        <w:t>, lid 1:</w:t>
      </w:r>
      <w:bookmarkEnd w:id="3"/>
    </w:p>
    <w:p w14:paraId="63158127" w14:textId="68F705D0" w:rsidR="00102CAF" w:rsidRPr="005F161A" w:rsidRDefault="009E02E7" w:rsidP="00E335A0">
      <w:pPr>
        <w:jc w:val="both"/>
        <w:rPr>
          <w:i/>
          <w:iCs/>
        </w:rPr>
      </w:pPr>
      <w:r w:rsidRPr="009E02E7">
        <w:rPr>
          <w:i/>
          <w:iCs/>
        </w:rPr>
        <w:t>Investeringssteun die ondernemingen in staat stelt de energie-efficiëntie, uitgezonderd van gebouwen, te verbeteren, is verenigbaar met de interne markt in de zin van artikel 107, lid 3, van het Verdrag en is van de aanmeldingsverplichting van artikel 108, lid 3, van het Verdrag vrijgesteld, mits de in dit artikel en in hoofdstuk I vastgestelde voorwaarden zijn vervuld.</w:t>
      </w:r>
    </w:p>
    <w:p w14:paraId="3FF7DFCC" w14:textId="591CBEE1" w:rsidR="00102CAF" w:rsidRDefault="00102CAF" w:rsidP="00E335A0">
      <w:pPr>
        <w:jc w:val="both"/>
      </w:pPr>
    </w:p>
    <w:p w14:paraId="7D85B265" w14:textId="6BE9B35C" w:rsidR="00A42DDE" w:rsidRDefault="00A42DDE" w:rsidP="00E335A0">
      <w:pPr>
        <w:jc w:val="both"/>
      </w:pPr>
      <w:bookmarkStart w:id="4" w:name="_Hlk87387169"/>
      <w:r>
        <w:t>Inleidend lid, geen toelichting nodig</w:t>
      </w:r>
      <w:r w:rsidR="00F20B4C">
        <w:t>.</w:t>
      </w:r>
    </w:p>
    <w:bookmarkEnd w:id="4"/>
    <w:p w14:paraId="3ED3A943" w14:textId="59113BEA" w:rsidR="00A42DDE" w:rsidRDefault="00A42DDE" w:rsidP="00E335A0">
      <w:pPr>
        <w:jc w:val="both"/>
      </w:pPr>
    </w:p>
    <w:p w14:paraId="14C33F84" w14:textId="77777777" w:rsidR="00A42DDE" w:rsidRDefault="00A42DDE" w:rsidP="00E335A0">
      <w:pPr>
        <w:jc w:val="both"/>
        <w:rPr>
          <w:b/>
          <w:bCs/>
          <w:i/>
          <w:iCs/>
          <w:u w:val="single"/>
        </w:rPr>
      </w:pPr>
    </w:p>
    <w:p w14:paraId="7646D881" w14:textId="2EF7948F" w:rsidR="00A42DDE" w:rsidRDefault="00A42DDE" w:rsidP="00E335A0">
      <w:pPr>
        <w:jc w:val="both"/>
      </w:pPr>
      <w:r w:rsidRPr="00326FA1">
        <w:rPr>
          <w:b/>
          <w:bCs/>
          <w:i/>
          <w:iCs/>
          <w:u w:val="single"/>
        </w:rPr>
        <w:t xml:space="preserve">Art </w:t>
      </w:r>
      <w:r>
        <w:rPr>
          <w:b/>
          <w:bCs/>
          <w:i/>
          <w:iCs/>
          <w:u w:val="single"/>
        </w:rPr>
        <w:t>38</w:t>
      </w:r>
      <w:r w:rsidRPr="00326FA1">
        <w:rPr>
          <w:b/>
          <w:bCs/>
          <w:i/>
          <w:iCs/>
          <w:u w:val="single"/>
        </w:rPr>
        <w:t xml:space="preserve">, lid </w:t>
      </w:r>
      <w:r>
        <w:rPr>
          <w:b/>
          <w:bCs/>
          <w:i/>
          <w:iCs/>
          <w:u w:val="single"/>
        </w:rPr>
        <w:t>2</w:t>
      </w:r>
      <w:r w:rsidRPr="00326FA1">
        <w:rPr>
          <w:b/>
          <w:bCs/>
          <w:i/>
          <w:iCs/>
          <w:u w:val="single"/>
        </w:rPr>
        <w:t>:</w:t>
      </w:r>
    </w:p>
    <w:p w14:paraId="64C7F3DB" w14:textId="2EBF3724" w:rsidR="00102CAF" w:rsidRDefault="009E02E7" w:rsidP="00E335A0">
      <w:pPr>
        <w:jc w:val="both"/>
      </w:pPr>
      <w:r w:rsidRPr="009E02E7">
        <w:rPr>
          <w:i/>
          <w:iCs/>
        </w:rPr>
        <w:t>Op grond van dit artikel wordt geen steun toegekend voor investeringen om te voldoen aan Unienormen die zijn vastgesteld en van kracht zijn. Op grond van dit artikel kan steun worden toegekend voor investeringen om te voldoen aan reeds vastgestelde maar nog niet van kracht zijnde Unienormen, mits de investering ten minste 18 maanden vóór de inwerkingtreding van de norm is uitgevoerd en voltooid.</w:t>
      </w:r>
    </w:p>
    <w:p w14:paraId="6B2B866D" w14:textId="631A747C" w:rsidR="00B44F8C" w:rsidRPr="00897528" w:rsidRDefault="00102CAF" w:rsidP="00E335A0">
      <w:pPr>
        <w:jc w:val="both"/>
      </w:pPr>
      <w:r w:rsidRPr="00897528">
        <w:rPr>
          <w:b/>
          <w:bCs/>
        </w:rPr>
        <w:t>Toelichting</w:t>
      </w:r>
      <w:r w:rsidRPr="00897528">
        <w:t xml:space="preserve">: </w:t>
      </w:r>
    </w:p>
    <w:p w14:paraId="413B6C70" w14:textId="2A47EA8D" w:rsidR="00BC7B2C" w:rsidRDefault="00E921F4" w:rsidP="00E335A0">
      <w:pPr>
        <w:jc w:val="both"/>
      </w:pPr>
      <w:r>
        <w:t>U dient</w:t>
      </w:r>
      <w:r w:rsidRPr="009173C5">
        <w:t xml:space="preserve"> </w:t>
      </w:r>
      <w:r>
        <w:t xml:space="preserve">te onderbouwen hoe het project aan deze eisen voldoet. </w:t>
      </w:r>
      <w:r w:rsidR="00BC7B2C" w:rsidRPr="0035470F">
        <w:t>Wij verzoeken u a</w:t>
      </w:r>
      <w:r w:rsidR="00BC7B2C">
        <w:t xml:space="preserve">an te geven </w:t>
      </w:r>
      <w:r w:rsidR="00FD5610">
        <w:t>welke hoeveelheid energie u door de investering bespaart. Ook verzoeken wij u om aan te geven waarom hier sprake is van verbeteringen die los staan van het voldoen aan (vastgestelde) Unienormen.</w:t>
      </w:r>
    </w:p>
    <w:p w14:paraId="49F5E210" w14:textId="77777777" w:rsidR="00BC7B2C" w:rsidRDefault="00BC7B2C" w:rsidP="00E335A0">
      <w:pPr>
        <w:jc w:val="both"/>
      </w:pPr>
    </w:p>
    <w:p w14:paraId="693D1F85" w14:textId="53889283" w:rsidR="00E921F4" w:rsidRDefault="003D648B" w:rsidP="00E335A0">
      <w:pPr>
        <w:jc w:val="both"/>
      </w:pPr>
      <w:r>
        <w:rPr>
          <w:b/>
          <w:bCs/>
        </w:rPr>
        <w:t xml:space="preserve">Toelichting: </w:t>
      </w:r>
      <w:r w:rsidR="00E921F4" w:rsidRPr="005F161A">
        <w:t xml:space="preserve">„energie-efficiëntie”: </w:t>
      </w:r>
      <w:r w:rsidR="00A8085F" w:rsidRPr="00A8085F">
        <w:t>energie-efficiëntie zoals gedefinieerd in artikel 2, punt 4, van Richtlijn 2012/27/EU van het Europees Parlement en de Raad</w:t>
      </w:r>
      <w:r w:rsidR="00A8085F">
        <w:t>.</w:t>
      </w:r>
    </w:p>
    <w:p w14:paraId="075AD501" w14:textId="77777777" w:rsidR="00BC7B2C" w:rsidRPr="00BC7B2C" w:rsidRDefault="00BC7B2C" w:rsidP="00E335A0">
      <w:pPr>
        <w:jc w:val="both"/>
      </w:pPr>
    </w:p>
    <w:p w14:paraId="5DBD55A3" w14:textId="722D1279" w:rsidR="00BC7B2C" w:rsidRPr="00986D90" w:rsidRDefault="003D648B" w:rsidP="00E335A0">
      <w:pPr>
        <w:jc w:val="both"/>
      </w:pPr>
      <w:r>
        <w:rPr>
          <w:b/>
          <w:bCs/>
        </w:rPr>
        <w:t xml:space="preserve">Toelichting: </w:t>
      </w:r>
      <w:r w:rsidR="00BC7B2C" w:rsidRPr="00986D90">
        <w:t>„Unienorm”</w:t>
      </w:r>
      <w:r w:rsidR="00BC7B2C">
        <w:t>:</w:t>
      </w:r>
    </w:p>
    <w:p w14:paraId="438B4952" w14:textId="77283E24" w:rsidR="00BC7B2C" w:rsidRPr="00986D90" w:rsidRDefault="00BC7B2C" w:rsidP="00E335A0">
      <w:pPr>
        <w:jc w:val="both"/>
      </w:pPr>
      <w:r w:rsidRPr="00986D90">
        <w:t xml:space="preserve">a) </w:t>
      </w:r>
      <w:r w:rsidR="00A8085F" w:rsidRPr="00A8085F">
        <w:t>een bindende Unienorm waarbij de op milieugebied te bereiken normen per onderneming zijn vastgesteld, met uitsluiting van op Unieniveau vastgestelde normen of streefdoelen die bindend zijn voor lidstaten, maar niet voor individuele ondernemingen; of</w:t>
      </w:r>
      <w:r w:rsidR="00A8085F">
        <w:t xml:space="preserve"> </w:t>
      </w:r>
    </w:p>
    <w:p w14:paraId="26B5FC15" w14:textId="77777777" w:rsidR="00CA5436" w:rsidRDefault="00BC7B2C" w:rsidP="00A8085F">
      <w:pPr>
        <w:jc w:val="both"/>
      </w:pPr>
      <w:r w:rsidRPr="00986D90">
        <w:lastRenderedPageBreak/>
        <w:t xml:space="preserve">b) </w:t>
      </w:r>
      <w:r w:rsidR="00A8085F" w:rsidRPr="00A8085F">
        <w:t>de verplichting om gebruik te maken van de beste beschikbare technieken (BBT), zoals gedefinieerd in Richtlijn 2010/75/EU van het Europees Parlement en de Raad (*), en om ervoor te zorgen dat de emissieniveaus niet hoger liggen dan die welke bij toepassing van de BBT zouden worden bereikt; wanneer de met de BBT samenhangende emissieniveaus zijn bepaald in uitvoeringshandelingen die op grond van Richtlijn 2010/75/EU of op grond van andere toepasselijke richtlijnen zijn vastgesteld, zullen die niveaus gelden voor de toepassing van deze verordening; wanneer die niveaus als een bandbreedte zijn geformuleerd, zal de grens waarvoor de BBT voor de betrokken onderneming het eerst wordt bereikt, van toepassing zijn;</w:t>
      </w:r>
    </w:p>
    <w:p w14:paraId="1F1A77CC" w14:textId="77777777" w:rsidR="00CA5436" w:rsidRDefault="00CA5436" w:rsidP="00A8085F">
      <w:pPr>
        <w:jc w:val="both"/>
      </w:pPr>
    </w:p>
    <w:p w14:paraId="5188B956" w14:textId="69C55559" w:rsidR="00BC7B2C" w:rsidRDefault="00CA5436" w:rsidP="00A8085F">
      <w:pPr>
        <w:jc w:val="both"/>
      </w:pPr>
      <w:r>
        <w:t>D</w:t>
      </w:r>
      <w:r w:rsidR="00BC7B2C" w:rsidRPr="00986D90">
        <w:t>e verplichting op grond van Richtlijn 2010/75/EU van het Europees Parlement en de Raad om de beste beschikbare technieken (BAT's) te gebruiken en ervoor te zorgen dat de emissieniveaus van verontreinigende stoffen niet hoger zijn dan bij de toepassing van de BAT's. Voor de gevallen waarin de met de BAT's geassocieerde emissieniveaus zijn bepaald in uitvoeringshandelingen die op grond van Richtlijn 2010/75/EU zijn vastgesteld, zullen die niveaus gelden voor de toepassing van deze verordening. Wanneer die niveaus als een bandbreedte zijn geformuleerd, zal de grens waar de BAT het eerst wordt bereikt, van toepassing zijn</w:t>
      </w:r>
      <w:r w:rsidR="00BC7B2C">
        <w:t>.</w:t>
      </w:r>
    </w:p>
    <w:p w14:paraId="053AFD53" w14:textId="7003D054" w:rsidR="00BC7B2C" w:rsidRDefault="00BC7B2C" w:rsidP="00A8085F">
      <w:pPr>
        <w:jc w:val="both"/>
      </w:pPr>
    </w:p>
    <w:p w14:paraId="43150DE7" w14:textId="7B1C6928" w:rsidR="00BC7B2C" w:rsidRDefault="00BC7B2C" w:rsidP="00A8085F">
      <w:pPr>
        <w:jc w:val="both"/>
      </w:pPr>
      <w:r w:rsidRPr="009859BE">
        <w:t>B</w:t>
      </w:r>
      <w:r>
        <w:t>AT</w:t>
      </w:r>
      <w:r w:rsidRPr="009859BE">
        <w:t>-conclusies</w:t>
      </w:r>
      <w:r>
        <w:t xml:space="preserve"> zoals bedoeld in </w:t>
      </w:r>
      <w:r w:rsidRPr="00986D90">
        <w:t>Richtlijn 2010/75/EU</w:t>
      </w:r>
      <w:r>
        <w:t xml:space="preserve"> stellen de norm. Dit zijn</w:t>
      </w:r>
      <w:r w:rsidRPr="009859BE">
        <w:t xml:space="preserve"> document</w:t>
      </w:r>
      <w:r>
        <w:t>en</w:t>
      </w:r>
      <w:r w:rsidRPr="009859BE">
        <w:t xml:space="preserve"> met </w:t>
      </w:r>
      <w:r>
        <w:t>onder meer</w:t>
      </w:r>
      <w:r w:rsidRPr="009859BE">
        <w:t xml:space="preserve"> conclusies over beste beschikbare technieken, de beschrijving ervan, gegevens ter beoordeling van de toepasselijkheid ervan,</w:t>
      </w:r>
      <w:r>
        <w:t xml:space="preserve"> en</w:t>
      </w:r>
      <w:r w:rsidRPr="009859BE">
        <w:t xml:space="preserve"> de met de beste beschikbare technieken geassocieerde emissieniveaus</w:t>
      </w:r>
      <w:r>
        <w:t>.</w:t>
      </w:r>
      <w:r w:rsidRPr="009859BE">
        <w:t xml:space="preserve"> </w:t>
      </w:r>
      <w:r>
        <w:t xml:space="preserve">Binnen vier jaar na de bekendmaking van een besluit over BAT-conclusies, ziet de bevoegde autoriteit erop toe dat alle vergunningsvoorwaarden voor de betrokken installatie worden getoetst en, indien noodzakelijk, geactualiseerd om ervoor te zorgen dat de emissiegrenswaarden worden nageleefd. </w:t>
      </w:r>
      <w:r w:rsidRPr="009859BE">
        <w:t>Gedurende deze periode van vier jaar gelden de BAT-c</w:t>
      </w:r>
      <w:r>
        <w:t xml:space="preserve">onclusies als </w:t>
      </w:r>
      <w:r w:rsidRPr="009859BE">
        <w:t>Unienormen</w:t>
      </w:r>
      <w:r>
        <w:t xml:space="preserve"> die </w:t>
      </w:r>
      <w:r w:rsidRPr="009859BE">
        <w:t xml:space="preserve">reeds </w:t>
      </w:r>
      <w:r>
        <w:t xml:space="preserve">zijn </w:t>
      </w:r>
      <w:r w:rsidRPr="009859BE">
        <w:t>vastgesteld en nog niet in werking getreden</w:t>
      </w:r>
      <w:r>
        <w:t>.</w:t>
      </w:r>
    </w:p>
    <w:p w14:paraId="2F1CBDFC" w14:textId="5989699C" w:rsidR="00C72E38" w:rsidRDefault="00A42DDE" w:rsidP="00E335A0">
      <w:pPr>
        <w:jc w:val="both"/>
      </w:pPr>
      <w:r>
        <w:rPr>
          <w:noProof/>
          <w:lang w:eastAsia="nl-NL"/>
        </w:rPr>
        <mc:AlternateContent>
          <mc:Choice Requires="wps">
            <w:drawing>
              <wp:anchor distT="45720" distB="45720" distL="114300" distR="114300" simplePos="0" relativeHeight="251659264" behindDoc="0" locked="0" layoutInCell="1" allowOverlap="1" wp14:anchorId="09649AFF" wp14:editId="739AE780">
                <wp:simplePos x="0" y="0"/>
                <wp:positionH relativeFrom="margin">
                  <wp:posOffset>0</wp:posOffset>
                </wp:positionH>
                <wp:positionV relativeFrom="paragraph">
                  <wp:posOffset>220345</wp:posOffset>
                </wp:positionV>
                <wp:extent cx="5405119" cy="634364"/>
                <wp:effectExtent l="0" t="0" r="24765" b="13970"/>
                <wp:wrapTopAndBottom/>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7FE1C9A8" w14:textId="18DF0858" w:rsidR="00A42DDE" w:rsidRPr="002A62AB" w:rsidRDefault="00A42DDE" w:rsidP="00A42DDE">
                            <w:pPr>
                              <w:rPr>
                                <w:b/>
                                <w:bCs/>
                              </w:rPr>
                            </w:pPr>
                            <w:r w:rsidRPr="002A62AB">
                              <w:rPr>
                                <w:b/>
                                <w:bCs/>
                              </w:rPr>
                              <w:t xml:space="preserve">Geef hier aan waarom de activiteiten in uw projectplan </w:t>
                            </w:r>
                            <w:r w:rsidR="00486687">
                              <w:rPr>
                                <w:b/>
                                <w:bCs/>
                              </w:rPr>
                              <w:t xml:space="preserve">voldoen </w:t>
                            </w:r>
                            <w:r w:rsidRPr="002A62AB">
                              <w:rPr>
                                <w:b/>
                                <w:bCs/>
                              </w:rPr>
                              <w:t xml:space="preserve">aan artikel </w:t>
                            </w:r>
                            <w:r>
                              <w:rPr>
                                <w:b/>
                                <w:bCs/>
                              </w:rPr>
                              <w:t>38</w:t>
                            </w:r>
                            <w:r w:rsidRPr="002A62AB">
                              <w:rPr>
                                <w:b/>
                                <w:bCs/>
                              </w:rPr>
                              <w:t>, lid 2:</w:t>
                            </w:r>
                          </w:p>
                          <w:p w14:paraId="14023B28" w14:textId="77777777" w:rsidR="00A42DDE" w:rsidRDefault="00A42DDE" w:rsidP="00A42DDE"/>
                          <w:p w14:paraId="34A42128" w14:textId="77777777" w:rsidR="00A42DDE" w:rsidRDefault="00A42DDE" w:rsidP="00A42DDE"/>
                          <w:p w14:paraId="1798DB24" w14:textId="77777777" w:rsidR="00A42DDE" w:rsidRDefault="00A42DDE" w:rsidP="00A42DDE"/>
                          <w:p w14:paraId="5E1BC539" w14:textId="77777777" w:rsidR="00A42DDE" w:rsidRDefault="00A42DDE" w:rsidP="00A42DDE"/>
                          <w:p w14:paraId="6A6A110B" w14:textId="77777777" w:rsidR="00A42DDE" w:rsidRDefault="00A42DDE" w:rsidP="00A42DDE"/>
                          <w:p w14:paraId="021CBE13" w14:textId="77777777" w:rsidR="00A42DDE" w:rsidRDefault="00A42DDE" w:rsidP="00A42DDE"/>
                          <w:p w14:paraId="23B481AC" w14:textId="77777777" w:rsidR="00A42DDE" w:rsidRDefault="00A42DDE" w:rsidP="00A42DDE"/>
                          <w:p w14:paraId="5EDF61C0" w14:textId="77777777" w:rsidR="00A42DDE" w:rsidRDefault="00A42DDE" w:rsidP="00A42DDE"/>
                          <w:p w14:paraId="3AB5F16B" w14:textId="77777777" w:rsidR="00A42DDE" w:rsidRDefault="00A42DDE" w:rsidP="00A42DDE">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649AFF" id="_x0000_t202" coordsize="21600,21600" o:spt="202" path="m,l,21600r21600,l21600,xe">
                <v:stroke joinstyle="miter"/>
                <v:path gradientshapeok="t" o:connecttype="rect"/>
              </v:shapetype>
              <v:shape id="Tekstvak 2" o:spid="_x0000_s1026" type="#_x0000_t202" style="position:absolute;left:0;text-align:left;margin-left:0;margin-top:17.35pt;width:425.6pt;height:49.9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qREAIAAB8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nQMfFZQn5BRC+PE4oah0IL9QUmP01pS9/3ArKBEvdfYlVWW52G8o5IvXs9RsZeW6tLC&#10;NEeoknpKRnHr40pEwswtdm8nI7HPmUy54hRGvqeNCWN+qUev573ePAIAAP//AwBQSwMEFAAGAAgA&#10;AAAhACEb613cAAAABwEAAA8AAABkcnMvZG93bnJldi54bWxMj8FOwzAQRO9I/IO1SFwq6rRpQhXi&#10;VFCpJ04N5e7GSxIRr4Pttunfs5zocTSjmTflZrKDOKMPvSMFi3kCAqlxpqdWweFj97QGEaImowdH&#10;qOCKATbV/V2pC+MutMdzHVvBJRQKraCLcSykDE2HVoe5G5HY+3Le6sjSt9J4feFyO8hlkuTS6p54&#10;odMjbjtsvuuTVZD/1Ons/dPMaH/dvfnGZmZ7yJR6fJheX0BEnOJ/GP7wGR0qZjq6E5kgBgV8JCpI&#10;V88g2F1niyWII8fSVQ6yKuUtf/ULAAD//wMAUEsBAi0AFAAGAAgAAAAhALaDOJL+AAAA4QEAABMA&#10;AAAAAAAAAAAAAAAAAAAAAFtDb250ZW50X1R5cGVzXS54bWxQSwECLQAUAAYACAAAACEAOP0h/9YA&#10;AACUAQAACwAAAAAAAAAAAAAAAAAvAQAAX3JlbHMvLnJlbHNQSwECLQAUAAYACAAAACEAS0lKkRAC&#10;AAAfBAAADgAAAAAAAAAAAAAAAAAuAgAAZHJzL2Uyb0RvYy54bWxQSwECLQAUAAYACAAAACEAIRvr&#10;XdwAAAAHAQAADwAAAAAAAAAAAAAAAABqBAAAZHJzL2Rvd25yZXYueG1sUEsFBgAAAAAEAAQA8wAA&#10;AHMFAAAAAA==&#10;">
                <v:textbox style="mso-fit-shape-to-text:t">
                  <w:txbxContent>
                    <w:p w14:paraId="7FE1C9A8" w14:textId="18DF0858" w:rsidR="00A42DDE" w:rsidRPr="002A62AB" w:rsidRDefault="00A42DDE" w:rsidP="00A42DDE">
                      <w:pPr>
                        <w:rPr>
                          <w:b/>
                          <w:bCs/>
                        </w:rPr>
                      </w:pPr>
                      <w:r w:rsidRPr="002A62AB">
                        <w:rPr>
                          <w:b/>
                          <w:bCs/>
                        </w:rPr>
                        <w:t xml:space="preserve">Geef hier aan waarom de activiteiten in uw projectplan </w:t>
                      </w:r>
                      <w:r w:rsidR="00486687">
                        <w:rPr>
                          <w:b/>
                          <w:bCs/>
                        </w:rPr>
                        <w:t xml:space="preserve">voldoen </w:t>
                      </w:r>
                      <w:r w:rsidRPr="002A62AB">
                        <w:rPr>
                          <w:b/>
                          <w:bCs/>
                        </w:rPr>
                        <w:t xml:space="preserve">aan artikel </w:t>
                      </w:r>
                      <w:r>
                        <w:rPr>
                          <w:b/>
                          <w:bCs/>
                        </w:rPr>
                        <w:t>38</w:t>
                      </w:r>
                      <w:r w:rsidRPr="002A62AB">
                        <w:rPr>
                          <w:b/>
                          <w:bCs/>
                        </w:rPr>
                        <w:t>, lid 2:</w:t>
                      </w:r>
                    </w:p>
                    <w:p w14:paraId="14023B28" w14:textId="77777777" w:rsidR="00A42DDE" w:rsidRDefault="00A42DDE" w:rsidP="00A42DDE"/>
                    <w:p w14:paraId="34A42128" w14:textId="77777777" w:rsidR="00A42DDE" w:rsidRDefault="00A42DDE" w:rsidP="00A42DDE"/>
                    <w:p w14:paraId="1798DB24" w14:textId="77777777" w:rsidR="00A42DDE" w:rsidRDefault="00A42DDE" w:rsidP="00A42DDE"/>
                    <w:p w14:paraId="5E1BC539" w14:textId="77777777" w:rsidR="00A42DDE" w:rsidRDefault="00A42DDE" w:rsidP="00A42DDE"/>
                    <w:p w14:paraId="6A6A110B" w14:textId="77777777" w:rsidR="00A42DDE" w:rsidRDefault="00A42DDE" w:rsidP="00A42DDE"/>
                    <w:p w14:paraId="021CBE13" w14:textId="77777777" w:rsidR="00A42DDE" w:rsidRDefault="00A42DDE" w:rsidP="00A42DDE"/>
                    <w:p w14:paraId="23B481AC" w14:textId="77777777" w:rsidR="00A42DDE" w:rsidRDefault="00A42DDE" w:rsidP="00A42DDE"/>
                    <w:p w14:paraId="5EDF61C0" w14:textId="77777777" w:rsidR="00A42DDE" w:rsidRDefault="00A42DDE" w:rsidP="00A42DDE"/>
                    <w:p w14:paraId="3AB5F16B" w14:textId="77777777" w:rsidR="00A42DDE" w:rsidRDefault="00A42DDE" w:rsidP="00A42DDE">
                      <w:r>
                        <w:t xml:space="preserve">  </w:t>
                      </w:r>
                    </w:p>
                  </w:txbxContent>
                </v:textbox>
                <w10:wrap type="topAndBottom" anchorx="margin"/>
              </v:shape>
            </w:pict>
          </mc:Fallback>
        </mc:AlternateContent>
      </w:r>
      <w:r w:rsidR="00FD5610">
        <w:tab/>
      </w:r>
    </w:p>
    <w:p w14:paraId="6CD410FA" w14:textId="63B04369" w:rsidR="00A8085F" w:rsidRDefault="00A8085F" w:rsidP="00A8085F">
      <w:pPr>
        <w:jc w:val="both"/>
      </w:pPr>
      <w:r w:rsidRPr="00326FA1">
        <w:rPr>
          <w:b/>
          <w:bCs/>
          <w:i/>
          <w:iCs/>
          <w:u w:val="single"/>
        </w:rPr>
        <w:t xml:space="preserve">Art </w:t>
      </w:r>
      <w:r>
        <w:rPr>
          <w:b/>
          <w:bCs/>
          <w:i/>
          <w:iCs/>
          <w:u w:val="single"/>
        </w:rPr>
        <w:t>38</w:t>
      </w:r>
      <w:r w:rsidRPr="00326FA1">
        <w:rPr>
          <w:b/>
          <w:bCs/>
          <w:i/>
          <w:iCs/>
          <w:u w:val="single"/>
        </w:rPr>
        <w:t xml:space="preserve">, lid </w:t>
      </w:r>
      <w:r>
        <w:rPr>
          <w:b/>
          <w:bCs/>
          <w:i/>
          <w:iCs/>
          <w:u w:val="single"/>
        </w:rPr>
        <w:t>2 bis</w:t>
      </w:r>
      <w:r w:rsidRPr="00326FA1">
        <w:rPr>
          <w:b/>
          <w:bCs/>
          <w:i/>
          <w:iCs/>
          <w:u w:val="single"/>
        </w:rPr>
        <w:t>:</w:t>
      </w:r>
    </w:p>
    <w:p w14:paraId="6D467D06" w14:textId="48086455" w:rsidR="00A8085F" w:rsidRDefault="00A8085F" w:rsidP="00E335A0">
      <w:pPr>
        <w:jc w:val="both"/>
      </w:pPr>
      <w:r w:rsidRPr="00A8085F">
        <w:rPr>
          <w:i/>
          <w:iCs/>
        </w:rPr>
        <w:t>Dit artikel is niet van toepassing op steun ten behoeve van warmtekrachtkoppeling en steun voor stadsverwarming en/of stadskoeling.</w:t>
      </w:r>
    </w:p>
    <w:p w14:paraId="59047FDB" w14:textId="77777777" w:rsidR="00A8085F" w:rsidRDefault="00A8085F" w:rsidP="00E335A0">
      <w:pPr>
        <w:jc w:val="both"/>
      </w:pPr>
    </w:p>
    <w:p w14:paraId="6DC41977" w14:textId="408106D8" w:rsidR="00A8085F" w:rsidRDefault="00225690" w:rsidP="00E335A0">
      <w:pPr>
        <w:jc w:val="both"/>
      </w:pPr>
      <w:r>
        <w:t>Ter kennisname, geen toelichting benodigd.</w:t>
      </w:r>
    </w:p>
    <w:p w14:paraId="7298863F" w14:textId="77777777" w:rsidR="00225690" w:rsidRDefault="00225690" w:rsidP="00E335A0">
      <w:pPr>
        <w:jc w:val="both"/>
      </w:pPr>
    </w:p>
    <w:p w14:paraId="0C4DDEEB" w14:textId="4C4F4C6E" w:rsidR="00A8085F" w:rsidRDefault="00A8085F" w:rsidP="00A8085F">
      <w:pPr>
        <w:jc w:val="both"/>
      </w:pPr>
      <w:r w:rsidRPr="00326FA1">
        <w:rPr>
          <w:b/>
          <w:bCs/>
          <w:i/>
          <w:iCs/>
          <w:u w:val="single"/>
        </w:rPr>
        <w:t xml:space="preserve">Art </w:t>
      </w:r>
      <w:r>
        <w:rPr>
          <w:b/>
          <w:bCs/>
          <w:i/>
          <w:iCs/>
          <w:u w:val="single"/>
        </w:rPr>
        <w:t>38</w:t>
      </w:r>
      <w:r w:rsidRPr="00326FA1">
        <w:rPr>
          <w:b/>
          <w:bCs/>
          <w:i/>
          <w:iCs/>
          <w:u w:val="single"/>
        </w:rPr>
        <w:t xml:space="preserve">, lid </w:t>
      </w:r>
      <w:r>
        <w:rPr>
          <w:b/>
          <w:bCs/>
          <w:i/>
          <w:iCs/>
          <w:u w:val="single"/>
        </w:rPr>
        <w:t>2 ter</w:t>
      </w:r>
      <w:r w:rsidRPr="00326FA1">
        <w:rPr>
          <w:b/>
          <w:bCs/>
          <w:i/>
          <w:iCs/>
          <w:u w:val="single"/>
        </w:rPr>
        <w:t>:</w:t>
      </w:r>
    </w:p>
    <w:p w14:paraId="0E1E8438" w14:textId="4C4B416F" w:rsidR="00A8085F" w:rsidRDefault="00A8085F" w:rsidP="00E335A0">
      <w:pPr>
        <w:jc w:val="both"/>
      </w:pPr>
      <w:r w:rsidRPr="00A8085F">
        <w:rPr>
          <w:i/>
          <w:iCs/>
        </w:rPr>
        <w:lastRenderedPageBreak/>
        <w:t>Steun voor de installatie van energie-uitrusting op fossiele brandstoffen, met inbegrip van aardgas, is op grond van dit artikel niet vrijgesteld van de aanmeldingsverplichting van artikel 108, lid 3, van het Verdrag.</w:t>
      </w:r>
    </w:p>
    <w:p w14:paraId="40D377BC" w14:textId="77777777" w:rsidR="00A8085F" w:rsidRDefault="00A8085F" w:rsidP="00E335A0">
      <w:pPr>
        <w:jc w:val="both"/>
      </w:pPr>
    </w:p>
    <w:p w14:paraId="02D26821" w14:textId="7BA519F3" w:rsidR="00A8085F" w:rsidRDefault="00225690" w:rsidP="00E335A0">
      <w:pPr>
        <w:jc w:val="both"/>
      </w:pPr>
      <w:r>
        <w:t>Ter kennisname, geen toelichting benodigd.</w:t>
      </w:r>
    </w:p>
    <w:p w14:paraId="7C4FF6C8" w14:textId="22BB488D" w:rsidR="003C0901" w:rsidRDefault="003C0901" w:rsidP="00E335A0">
      <w:pPr>
        <w:jc w:val="both"/>
        <w:rPr>
          <w:i/>
          <w:iCs/>
        </w:rPr>
      </w:pPr>
    </w:p>
    <w:p w14:paraId="5633366C" w14:textId="0DFDA355" w:rsidR="002C2F73" w:rsidRDefault="002C2F73" w:rsidP="00E335A0">
      <w:pPr>
        <w:jc w:val="both"/>
      </w:pPr>
      <w:r w:rsidRPr="00326FA1">
        <w:rPr>
          <w:b/>
          <w:bCs/>
          <w:i/>
          <w:iCs/>
          <w:u w:val="single"/>
        </w:rPr>
        <w:t xml:space="preserve">Art </w:t>
      </w:r>
      <w:r>
        <w:rPr>
          <w:b/>
          <w:bCs/>
          <w:i/>
          <w:iCs/>
          <w:u w:val="single"/>
        </w:rPr>
        <w:t>38</w:t>
      </w:r>
      <w:r w:rsidRPr="00326FA1">
        <w:rPr>
          <w:b/>
          <w:bCs/>
          <w:i/>
          <w:iCs/>
          <w:u w:val="single"/>
        </w:rPr>
        <w:t xml:space="preserve">, lid </w:t>
      </w:r>
      <w:r>
        <w:rPr>
          <w:b/>
          <w:bCs/>
          <w:i/>
          <w:iCs/>
          <w:u w:val="single"/>
        </w:rPr>
        <w:t>3</w:t>
      </w:r>
      <w:r w:rsidRPr="00326FA1">
        <w:rPr>
          <w:b/>
          <w:bCs/>
          <w:i/>
          <w:iCs/>
          <w:u w:val="single"/>
        </w:rPr>
        <w:t>:</w:t>
      </w:r>
    </w:p>
    <w:p w14:paraId="242974DE" w14:textId="77777777" w:rsidR="00225690" w:rsidRDefault="00225690" w:rsidP="00225690">
      <w:pPr>
        <w:jc w:val="both"/>
        <w:rPr>
          <w:i/>
          <w:iCs/>
        </w:rPr>
      </w:pPr>
      <w:r w:rsidRPr="00225690">
        <w:rPr>
          <w:i/>
          <w:iCs/>
        </w:rPr>
        <w:t>De in aanmerking komende kosten zijn de bijkomende investeringskosten die nodig zijn om het hogere niveau aan energie-efficiëntie te behalen. Zij worden vastgesteld door de investeringskosten te vergelijken met die van het nulscenario dat zich zonder de steun zou voordoen, en wel als volgt:</w:t>
      </w:r>
    </w:p>
    <w:p w14:paraId="08200B68" w14:textId="77777777" w:rsidR="00225690" w:rsidRPr="00225690" w:rsidRDefault="00225690" w:rsidP="00225690">
      <w:pPr>
        <w:jc w:val="both"/>
        <w:rPr>
          <w:i/>
          <w:iCs/>
        </w:rPr>
      </w:pPr>
    </w:p>
    <w:p w14:paraId="5B7C6A00" w14:textId="3F74A9BB" w:rsidR="00225690" w:rsidRDefault="00225690" w:rsidP="00225690">
      <w:pPr>
        <w:jc w:val="both"/>
        <w:rPr>
          <w:i/>
          <w:iCs/>
        </w:rPr>
      </w:pPr>
      <w:r w:rsidRPr="00225690">
        <w:rPr>
          <w:i/>
          <w:iCs/>
        </w:rPr>
        <w:t>a)</w:t>
      </w:r>
      <w:r>
        <w:rPr>
          <w:i/>
          <w:iCs/>
        </w:rPr>
        <w:t xml:space="preserve"> </w:t>
      </w:r>
      <w:r w:rsidRPr="00225690">
        <w:rPr>
          <w:i/>
          <w:iCs/>
        </w:rPr>
        <w:t>indien het nulscenario erin bestaat een minder energie-efficiënte investering uit te voeren die overeenkomt met de gangbare zakelijke praktijk in de betrokken sector of voor de betrokken activiteit, bestaan de in aanmerking komende kosten uit het verschil tussen de kosten van de investering waarvoor staatssteun wordt verleend en de kosten van de minder energie-efficiënte investering.</w:t>
      </w:r>
    </w:p>
    <w:p w14:paraId="19208547" w14:textId="77777777" w:rsidR="00225690" w:rsidRPr="00225690" w:rsidRDefault="00225690" w:rsidP="00225690">
      <w:pPr>
        <w:jc w:val="both"/>
        <w:rPr>
          <w:i/>
          <w:iCs/>
        </w:rPr>
      </w:pPr>
    </w:p>
    <w:p w14:paraId="1BF3994C" w14:textId="101D53A9" w:rsidR="00225690" w:rsidRDefault="00225690" w:rsidP="00225690">
      <w:pPr>
        <w:jc w:val="both"/>
        <w:rPr>
          <w:i/>
          <w:iCs/>
        </w:rPr>
      </w:pPr>
      <w:r w:rsidRPr="00225690">
        <w:rPr>
          <w:i/>
          <w:iCs/>
        </w:rPr>
        <w:t>b)</w:t>
      </w:r>
      <w:r>
        <w:rPr>
          <w:i/>
          <w:iCs/>
        </w:rPr>
        <w:t xml:space="preserve"> </w:t>
      </w:r>
      <w:r w:rsidRPr="00225690">
        <w:rPr>
          <w:i/>
          <w:iCs/>
        </w:rPr>
        <w:t>indien het nulscenario erin bestaat dezelfde investering op een later tijdstip uit te voeren, bestaan de in aanmerking komende kosten uit het verschil tussen de kosten van de investering waarvoor staatssteun wordt verleend en de netto contante waarde van de kosten van de latere investering, gedisconteerd naar het tijdstip dat de gesteunde investering zou worden verricht;</w:t>
      </w:r>
    </w:p>
    <w:p w14:paraId="23DA8C14" w14:textId="77777777" w:rsidR="00225690" w:rsidRPr="00225690" w:rsidRDefault="00225690" w:rsidP="00225690">
      <w:pPr>
        <w:jc w:val="both"/>
        <w:rPr>
          <w:i/>
          <w:iCs/>
        </w:rPr>
      </w:pPr>
    </w:p>
    <w:p w14:paraId="79D9BDFC" w14:textId="455E300F" w:rsidR="00225690" w:rsidRDefault="00225690" w:rsidP="00225690">
      <w:pPr>
        <w:jc w:val="both"/>
        <w:rPr>
          <w:i/>
          <w:iCs/>
        </w:rPr>
      </w:pPr>
      <w:r w:rsidRPr="00225690">
        <w:rPr>
          <w:i/>
          <w:iCs/>
        </w:rPr>
        <w:t>c)</w:t>
      </w:r>
      <w:r>
        <w:rPr>
          <w:i/>
          <w:iCs/>
        </w:rPr>
        <w:t xml:space="preserve"> </w:t>
      </w:r>
      <w:r w:rsidRPr="00225690">
        <w:rPr>
          <w:i/>
          <w:iCs/>
        </w:rPr>
        <w:t>indien het nulscenario erin bestaat de bestaande installaties en uitrusting in bedrijf te houden, bestaan de in aanmerking komende kosten uit het verschil tussen de kosten van de investering waarvoor staatssteun wordt verleend en de netto contante waarde van de investering in het onderhoud, de reparatie en de modernisering van de bestaande installaties en uitrusting, gedisconteerd naar het tijdstip dat de gesteunde investering zou worden verricht;</w:t>
      </w:r>
    </w:p>
    <w:p w14:paraId="5921E950" w14:textId="77777777" w:rsidR="00225690" w:rsidRPr="00225690" w:rsidRDefault="00225690" w:rsidP="00225690">
      <w:pPr>
        <w:jc w:val="both"/>
        <w:rPr>
          <w:i/>
          <w:iCs/>
        </w:rPr>
      </w:pPr>
    </w:p>
    <w:p w14:paraId="3FDAA57A" w14:textId="384A48F9" w:rsidR="00225690" w:rsidRDefault="00225690" w:rsidP="00225690">
      <w:pPr>
        <w:jc w:val="both"/>
        <w:rPr>
          <w:i/>
          <w:iCs/>
        </w:rPr>
      </w:pPr>
      <w:r w:rsidRPr="00225690">
        <w:rPr>
          <w:i/>
          <w:iCs/>
        </w:rPr>
        <w:t>d)</w:t>
      </w:r>
      <w:r>
        <w:rPr>
          <w:i/>
          <w:iCs/>
        </w:rPr>
        <w:t xml:space="preserve"> </w:t>
      </w:r>
      <w:r w:rsidRPr="00225690">
        <w:rPr>
          <w:i/>
          <w:iCs/>
        </w:rPr>
        <w:t>in het geval van uitrusting die onder leasingovereenkomsten valt, bestaan de in aanmerking komende kosten uit het verschil in netto contante waarde tussen de leasing van de uitrusting waarvoor staatssteun wordt verleend en de leasing van de minder energie-efficiënte uitrusting die zonder de steun zou worden geleased; de leasingkosten omvatten geen kosten met betrekking tot de exploitatie van de uitrusting of installatie (brandstofkosten, verzekering, onderhoud, andere verbruiksgoederen), ongeacht of deze deel uitmaken van het leasingcontract.</w:t>
      </w:r>
    </w:p>
    <w:p w14:paraId="4B597C43" w14:textId="77777777" w:rsidR="00225690" w:rsidRDefault="00225690" w:rsidP="00225690">
      <w:pPr>
        <w:jc w:val="both"/>
        <w:rPr>
          <w:i/>
          <w:iCs/>
        </w:rPr>
      </w:pPr>
    </w:p>
    <w:p w14:paraId="1FB61B79" w14:textId="77777777" w:rsidR="00225690" w:rsidRPr="00225690" w:rsidRDefault="00225690" w:rsidP="00225690">
      <w:pPr>
        <w:jc w:val="both"/>
        <w:rPr>
          <w:i/>
          <w:iCs/>
        </w:rPr>
      </w:pPr>
      <w:r w:rsidRPr="00225690">
        <w:rPr>
          <w:i/>
          <w:iCs/>
        </w:rPr>
        <w:t>In alle in de eerste alinea genoemde situaties komt het nulscenario overeen met een investering met een vergelijkbare outputcapaciteit en levensduur die voldoet aan reeds van kracht zijnde Unienormen. Het nulscenario is geloofwaardig in het licht van wettelijke vereisten, marktvoorwaarden en prikkels gegenereerd door het EU ETS-systeem.</w:t>
      </w:r>
    </w:p>
    <w:p w14:paraId="1D46AADE" w14:textId="77777777" w:rsidR="00225690" w:rsidRDefault="00225690" w:rsidP="00225690">
      <w:pPr>
        <w:jc w:val="both"/>
        <w:rPr>
          <w:i/>
          <w:iCs/>
        </w:rPr>
      </w:pPr>
    </w:p>
    <w:p w14:paraId="2848B020" w14:textId="09EB2713" w:rsidR="00225690" w:rsidRPr="00225690" w:rsidRDefault="00225690" w:rsidP="00225690">
      <w:pPr>
        <w:jc w:val="both"/>
        <w:rPr>
          <w:i/>
          <w:iCs/>
        </w:rPr>
      </w:pPr>
      <w:r w:rsidRPr="00225690">
        <w:rPr>
          <w:i/>
          <w:iCs/>
        </w:rPr>
        <w:t>Indien de investering bestaat in een duidelijk te identificeren investering met uitsluitend als doel het verbeteren van de energie-efficiëntie waarvoor er geen minder energie-efficiënte investering in een nulscenario is, zijn de in aanmerking komende kosten de totale investeringskosten.</w:t>
      </w:r>
    </w:p>
    <w:p w14:paraId="3F3EFE38" w14:textId="77777777" w:rsidR="00225690" w:rsidRDefault="00225690" w:rsidP="00225690">
      <w:pPr>
        <w:jc w:val="both"/>
        <w:rPr>
          <w:i/>
          <w:iCs/>
        </w:rPr>
      </w:pPr>
    </w:p>
    <w:p w14:paraId="0FB3785C" w14:textId="75C738DD" w:rsidR="00225690" w:rsidRDefault="00225690" w:rsidP="00225690">
      <w:pPr>
        <w:jc w:val="both"/>
        <w:rPr>
          <w:i/>
          <w:iCs/>
        </w:rPr>
      </w:pPr>
      <w:r w:rsidRPr="00225690">
        <w:rPr>
          <w:i/>
          <w:iCs/>
        </w:rPr>
        <w:t>De kosten die niet rechtstreeks verband houden met het behalen van een hoger niveau van energie-efficiëntie, komen niet in aanmerking</w:t>
      </w:r>
      <w:r>
        <w:rPr>
          <w:i/>
          <w:iCs/>
        </w:rPr>
        <w:t>.</w:t>
      </w:r>
    </w:p>
    <w:p w14:paraId="6AAD4616" w14:textId="77777777" w:rsidR="00225690" w:rsidRDefault="00225690" w:rsidP="00225690">
      <w:pPr>
        <w:jc w:val="both"/>
        <w:rPr>
          <w:i/>
          <w:iCs/>
        </w:rPr>
      </w:pPr>
    </w:p>
    <w:p w14:paraId="5239DA69" w14:textId="786BCD4B" w:rsidR="003A2066" w:rsidRDefault="008821A4" w:rsidP="00E335A0">
      <w:pPr>
        <w:jc w:val="both"/>
        <w:rPr>
          <w:highlight w:val="green"/>
        </w:rPr>
      </w:pPr>
      <w:r>
        <w:rPr>
          <w:noProof/>
          <w:lang w:eastAsia="nl-NL"/>
        </w:rPr>
        <w:lastRenderedPageBreak/>
        <mc:AlternateContent>
          <mc:Choice Requires="wps">
            <w:drawing>
              <wp:anchor distT="45720" distB="45720" distL="114300" distR="114300" simplePos="0" relativeHeight="251661312" behindDoc="0" locked="0" layoutInCell="1" allowOverlap="1" wp14:anchorId="26C8C659" wp14:editId="68E50645">
                <wp:simplePos x="0" y="0"/>
                <wp:positionH relativeFrom="margin">
                  <wp:align>left</wp:align>
                </wp:positionH>
                <wp:positionV relativeFrom="paragraph">
                  <wp:posOffset>230505</wp:posOffset>
                </wp:positionV>
                <wp:extent cx="5404485" cy="1882140"/>
                <wp:effectExtent l="0" t="0" r="24765" b="22860"/>
                <wp:wrapTopAndBottom/>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1882140"/>
                        </a:xfrm>
                        <a:prstGeom prst="rect">
                          <a:avLst/>
                        </a:prstGeom>
                        <a:solidFill>
                          <a:srgbClr val="FFFFFF"/>
                        </a:solidFill>
                        <a:ln w="9525">
                          <a:solidFill>
                            <a:srgbClr val="000000"/>
                          </a:solidFill>
                          <a:miter lim="800000"/>
                          <a:headEnd/>
                          <a:tailEnd/>
                        </a:ln>
                      </wps:spPr>
                      <wps:txbx>
                        <w:txbxContent>
                          <w:p w14:paraId="10DF5DAE" w14:textId="05009045" w:rsidR="00725A15" w:rsidRPr="002A62AB" w:rsidRDefault="00725A15" w:rsidP="00725A15">
                            <w:pPr>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38</w:t>
                            </w:r>
                            <w:r w:rsidRPr="002A62AB">
                              <w:rPr>
                                <w:b/>
                                <w:bCs/>
                              </w:rPr>
                              <w:t xml:space="preserve">, lid </w:t>
                            </w:r>
                            <w:r>
                              <w:rPr>
                                <w:b/>
                                <w:bCs/>
                              </w:rPr>
                              <w:t>3</w:t>
                            </w:r>
                            <w:r w:rsidRPr="002A62AB">
                              <w:rPr>
                                <w:b/>
                                <w:bCs/>
                              </w:rPr>
                              <w:t>:</w:t>
                            </w:r>
                          </w:p>
                          <w:p w14:paraId="6419A111" w14:textId="77777777" w:rsidR="00725A15" w:rsidRDefault="00725A15" w:rsidP="00725A15"/>
                          <w:p w14:paraId="4645069B" w14:textId="77777777" w:rsidR="00725A15" w:rsidRDefault="00725A15" w:rsidP="00725A15"/>
                          <w:p w14:paraId="611B44B2" w14:textId="77777777" w:rsidR="00725A15" w:rsidRDefault="00725A15" w:rsidP="00725A15"/>
                          <w:p w14:paraId="6E273914" w14:textId="77777777" w:rsidR="00725A15" w:rsidRDefault="00725A15" w:rsidP="00725A15"/>
                          <w:p w14:paraId="71C59AFD" w14:textId="3F4FE1A0" w:rsidR="00725A15" w:rsidRDefault="00725A15" w:rsidP="00725A15"/>
                          <w:p w14:paraId="768F7FCD" w14:textId="77777777" w:rsidR="00486687" w:rsidRDefault="00486687" w:rsidP="00725A15"/>
                          <w:p w14:paraId="44D7DD50" w14:textId="77777777" w:rsidR="00725A15" w:rsidRDefault="00725A15" w:rsidP="00725A15"/>
                          <w:p w14:paraId="28521437" w14:textId="77777777" w:rsidR="00725A15" w:rsidRDefault="00725A15" w:rsidP="00725A15"/>
                          <w:p w14:paraId="6FDE46C3" w14:textId="77777777" w:rsidR="00725A15" w:rsidRDefault="00725A15" w:rsidP="00725A15"/>
                          <w:p w14:paraId="3D4D9D4D" w14:textId="77777777" w:rsidR="00725A15" w:rsidRDefault="00725A15" w:rsidP="00725A15">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C8C659" id="_x0000_s1027" type="#_x0000_t202" style="position:absolute;left:0;text-align:left;margin-left:0;margin-top:18.15pt;width:425.55pt;height:148.2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y1HEwIAACcEAAAOAAAAZHJzL2Uyb0RvYy54bWysk82O2yAQx++V+g6Ie2M7ctqsFWe1zTZV&#10;pe2HtO0DYMAxKmYokNjbp++Avdlo216qckAMA39mfjNsrsdek5N0XoGpabHIKZGGg1DmUNNvX/ev&#10;1pT4wIxgGoys6YP09Hr78sVmsJVcQgdaSEdQxPhqsDXtQrBVlnneyZ75BVhp0NmC61lA0x0y4diA&#10;6r3Olnn+OhvACeuAS+9x93Zy0m3Sb1vJw+e29TIQXVOMLaTZpbmJc7bdsOrgmO0Un8Ng/xBFz5TB&#10;R89StywwcnTqN6lecQce2rDg0GfQtorLlANmU+TPsrnvmJUpF4Tj7RmT/3+y/NPp3n5xJIxvYcQC&#10;piS8vQP+3RMDu46Zg7xxDoZOMoEPFxFZNlhfzVcjal/5KNIMH0FgkdkxQBIaW9dHKpgnQXUswMMZ&#10;uhwD4bi5KvOyXK8o4egr1utlUaayZKx6vG6dD+8l9CQuauqwqkmene58iOGw6vFIfM2DVmKvtE6G&#10;OzQ77ciJYQfs00gZPDumDRlqerVariYCf5XI0/iTRK8CtrJWfU3X50OsitzeGZEaLTClpzWGrM0M&#10;MrKbKIaxGYkSM+XItQHxgGQdTJ2LPw0XHbiflAzYtTX1P47MSUr0B4PVuSpKpEdCMsrVmyUa7tLT&#10;XHqY4ShV00DJtNyF9DUiNwM3WMVWJb5PkcwhYzcm7PPPie1+aadTT/97+wsAAP//AwBQSwMEFAAG&#10;AAgAAAAhAIX0aFPeAAAABwEAAA8AAABkcnMvZG93bnJldi54bWxMj8FOwzAQRO9I/IO1SFwQddJA&#10;GkKcCiGB6A0KgqubbJMIex1sNw1/z3KC486MZt5W69kaMaEPgyMF6SIBgdS4dqBOwdvrw2UBIkRN&#10;rTaOUME3BljXpyeVLlt3pBectrETXEKh1Ar6GMdSytD0aHVYuBGJvb3zVkc+fSdbr49cbo1cJkku&#10;rR6IF3o94n2Pzef2YBUUV0/TR9hkz+9Nvjc38WI1PX55pc7P5rtbEBHn+BeGX3xGh5qZdu5AbRBG&#10;AT8SFWR5BoLd4jpNQexYyJYrkHUl//PXPwAAAP//AwBQSwECLQAUAAYACAAAACEAtoM4kv4AAADh&#10;AQAAEwAAAAAAAAAAAAAAAAAAAAAAW0NvbnRlbnRfVHlwZXNdLnhtbFBLAQItABQABgAIAAAAIQA4&#10;/SH/1gAAAJQBAAALAAAAAAAAAAAAAAAAAC8BAABfcmVscy8ucmVsc1BLAQItABQABgAIAAAAIQBM&#10;6y1HEwIAACcEAAAOAAAAAAAAAAAAAAAAAC4CAABkcnMvZTJvRG9jLnhtbFBLAQItABQABgAIAAAA&#10;IQCF9GhT3gAAAAcBAAAPAAAAAAAAAAAAAAAAAG0EAABkcnMvZG93bnJldi54bWxQSwUGAAAAAAQA&#10;BADzAAAAeAUAAAAA&#10;">
                <v:textbox>
                  <w:txbxContent>
                    <w:p w14:paraId="10DF5DAE" w14:textId="05009045" w:rsidR="00725A15" w:rsidRPr="002A62AB" w:rsidRDefault="00725A15" w:rsidP="00725A15">
                      <w:pPr>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38</w:t>
                      </w:r>
                      <w:r w:rsidRPr="002A62AB">
                        <w:rPr>
                          <w:b/>
                          <w:bCs/>
                        </w:rPr>
                        <w:t xml:space="preserve">, lid </w:t>
                      </w:r>
                      <w:r>
                        <w:rPr>
                          <w:b/>
                          <w:bCs/>
                        </w:rPr>
                        <w:t>3</w:t>
                      </w:r>
                      <w:r w:rsidRPr="002A62AB">
                        <w:rPr>
                          <w:b/>
                          <w:bCs/>
                        </w:rPr>
                        <w:t>:</w:t>
                      </w:r>
                    </w:p>
                    <w:p w14:paraId="6419A111" w14:textId="77777777" w:rsidR="00725A15" w:rsidRDefault="00725A15" w:rsidP="00725A15"/>
                    <w:p w14:paraId="4645069B" w14:textId="77777777" w:rsidR="00725A15" w:rsidRDefault="00725A15" w:rsidP="00725A15"/>
                    <w:p w14:paraId="611B44B2" w14:textId="77777777" w:rsidR="00725A15" w:rsidRDefault="00725A15" w:rsidP="00725A15"/>
                    <w:p w14:paraId="6E273914" w14:textId="77777777" w:rsidR="00725A15" w:rsidRDefault="00725A15" w:rsidP="00725A15"/>
                    <w:p w14:paraId="71C59AFD" w14:textId="3F4FE1A0" w:rsidR="00725A15" w:rsidRDefault="00725A15" w:rsidP="00725A15"/>
                    <w:p w14:paraId="768F7FCD" w14:textId="77777777" w:rsidR="00486687" w:rsidRDefault="00486687" w:rsidP="00725A15"/>
                    <w:p w14:paraId="44D7DD50" w14:textId="77777777" w:rsidR="00725A15" w:rsidRDefault="00725A15" w:rsidP="00725A15"/>
                    <w:p w14:paraId="28521437" w14:textId="77777777" w:rsidR="00725A15" w:rsidRDefault="00725A15" w:rsidP="00725A15"/>
                    <w:p w14:paraId="6FDE46C3" w14:textId="77777777" w:rsidR="00725A15" w:rsidRDefault="00725A15" w:rsidP="00725A15"/>
                    <w:p w14:paraId="3D4D9D4D" w14:textId="77777777" w:rsidR="00725A15" w:rsidRDefault="00725A15" w:rsidP="00725A15">
                      <w:r>
                        <w:t xml:space="preserve">  </w:t>
                      </w:r>
                    </w:p>
                  </w:txbxContent>
                </v:textbox>
                <w10:wrap type="topAndBottom" anchorx="margin"/>
              </v:shape>
            </w:pict>
          </mc:Fallback>
        </mc:AlternateContent>
      </w:r>
      <w:bookmarkStart w:id="5" w:name="_Hlk86409274"/>
      <w:bookmarkStart w:id="6" w:name="_Hlk86409363"/>
    </w:p>
    <w:p w14:paraId="5AAFA73D" w14:textId="77777777" w:rsidR="008821A4" w:rsidRPr="008821A4" w:rsidRDefault="008821A4" w:rsidP="00E335A0">
      <w:pPr>
        <w:jc w:val="both"/>
        <w:rPr>
          <w:highlight w:val="green"/>
        </w:rPr>
      </w:pPr>
    </w:p>
    <w:bookmarkEnd w:id="5"/>
    <w:bookmarkEnd w:id="6"/>
    <w:p w14:paraId="4E6DF15D" w14:textId="77777777" w:rsidR="00486687" w:rsidRDefault="00486687" w:rsidP="00E335A0">
      <w:pPr>
        <w:jc w:val="both"/>
        <w:rPr>
          <w:b/>
          <w:bCs/>
          <w:i/>
          <w:iCs/>
          <w:u w:val="single"/>
        </w:rPr>
      </w:pPr>
    </w:p>
    <w:p w14:paraId="27094AAA" w14:textId="02533D93" w:rsidR="002C2F73" w:rsidRDefault="002C2F73" w:rsidP="00E335A0">
      <w:pPr>
        <w:jc w:val="both"/>
      </w:pPr>
      <w:r w:rsidRPr="00326FA1">
        <w:rPr>
          <w:b/>
          <w:bCs/>
          <w:i/>
          <w:iCs/>
          <w:u w:val="single"/>
        </w:rPr>
        <w:t xml:space="preserve">Art </w:t>
      </w:r>
      <w:r>
        <w:rPr>
          <w:b/>
          <w:bCs/>
          <w:i/>
          <w:iCs/>
          <w:u w:val="single"/>
        </w:rPr>
        <w:t>38</w:t>
      </w:r>
      <w:r w:rsidRPr="00326FA1">
        <w:rPr>
          <w:b/>
          <w:bCs/>
          <w:i/>
          <w:iCs/>
          <w:u w:val="single"/>
        </w:rPr>
        <w:t xml:space="preserve">, lid </w:t>
      </w:r>
      <w:r w:rsidR="00725A15">
        <w:rPr>
          <w:b/>
          <w:bCs/>
          <w:i/>
          <w:iCs/>
          <w:u w:val="single"/>
        </w:rPr>
        <w:t>4</w:t>
      </w:r>
      <w:r w:rsidRPr="00326FA1">
        <w:rPr>
          <w:b/>
          <w:bCs/>
          <w:i/>
          <w:iCs/>
          <w:u w:val="single"/>
        </w:rPr>
        <w:t>:</w:t>
      </w:r>
    </w:p>
    <w:p w14:paraId="1DCA8C26" w14:textId="2DC97921" w:rsidR="0036762E" w:rsidRPr="0036762E" w:rsidRDefault="0036762E" w:rsidP="00E335A0">
      <w:pPr>
        <w:jc w:val="both"/>
        <w:rPr>
          <w:i/>
          <w:iCs/>
        </w:rPr>
      </w:pPr>
      <w:r w:rsidRPr="0036762E">
        <w:rPr>
          <w:i/>
          <w:iCs/>
        </w:rPr>
        <w:t>De steunintensiteit bedraagt ten hoogste 30 % van de in aanmerking komende kosten.</w:t>
      </w:r>
    </w:p>
    <w:p w14:paraId="6DA88FB1" w14:textId="2925702A" w:rsidR="009C4E4D" w:rsidRPr="00E01DAA" w:rsidRDefault="009C4E4D" w:rsidP="00E335A0">
      <w:pPr>
        <w:jc w:val="both"/>
      </w:pPr>
    </w:p>
    <w:p w14:paraId="773D92D9" w14:textId="77777777" w:rsidR="00E335A0" w:rsidRDefault="00E335A0" w:rsidP="00E335A0">
      <w:pPr>
        <w:jc w:val="both"/>
        <w:rPr>
          <w:i/>
          <w:iCs/>
        </w:rPr>
      </w:pPr>
    </w:p>
    <w:p w14:paraId="11D9F396" w14:textId="3BF87FB7" w:rsidR="00725A15" w:rsidRDefault="00725A15" w:rsidP="00E335A0">
      <w:pPr>
        <w:jc w:val="both"/>
      </w:pPr>
      <w:r w:rsidRPr="00326FA1">
        <w:rPr>
          <w:b/>
          <w:bCs/>
          <w:i/>
          <w:iCs/>
          <w:u w:val="single"/>
        </w:rPr>
        <w:t xml:space="preserve">Art </w:t>
      </w:r>
      <w:r>
        <w:rPr>
          <w:b/>
          <w:bCs/>
          <w:i/>
          <w:iCs/>
          <w:u w:val="single"/>
        </w:rPr>
        <w:t>38</w:t>
      </w:r>
      <w:r w:rsidRPr="00326FA1">
        <w:rPr>
          <w:b/>
          <w:bCs/>
          <w:i/>
          <w:iCs/>
          <w:u w:val="single"/>
        </w:rPr>
        <w:t xml:space="preserve">, lid </w:t>
      </w:r>
      <w:r>
        <w:rPr>
          <w:b/>
          <w:bCs/>
          <w:i/>
          <w:iCs/>
          <w:u w:val="single"/>
        </w:rPr>
        <w:t>5</w:t>
      </w:r>
      <w:r w:rsidRPr="00326FA1">
        <w:rPr>
          <w:b/>
          <w:bCs/>
          <w:i/>
          <w:iCs/>
          <w:u w:val="single"/>
        </w:rPr>
        <w:t>:</w:t>
      </w:r>
    </w:p>
    <w:p w14:paraId="7E6F43F9" w14:textId="2B0F086A" w:rsidR="0036762E" w:rsidRPr="0036762E" w:rsidRDefault="0036762E" w:rsidP="00E335A0">
      <w:pPr>
        <w:jc w:val="both"/>
        <w:rPr>
          <w:i/>
          <w:iCs/>
        </w:rPr>
      </w:pPr>
      <w:r w:rsidRPr="0036762E">
        <w:rPr>
          <w:i/>
          <w:iCs/>
        </w:rPr>
        <w:t>De steunintensiteit kan met 20 procentpunten worden verhoogd voor steun aan kleine ondernemingen en met 10 procentpunten voor steun aan middelgrote ondernemingen.</w:t>
      </w:r>
    </w:p>
    <w:p w14:paraId="03BA32BC" w14:textId="112DFD0B" w:rsidR="00E335A0" w:rsidRDefault="00E335A0" w:rsidP="00E335A0">
      <w:pPr>
        <w:jc w:val="both"/>
        <w:rPr>
          <w:i/>
          <w:iCs/>
        </w:rPr>
      </w:pPr>
    </w:p>
    <w:p w14:paraId="2C514AB7" w14:textId="77777777" w:rsidR="00E335A0" w:rsidRDefault="00E335A0" w:rsidP="00E335A0">
      <w:pPr>
        <w:jc w:val="both"/>
        <w:rPr>
          <w:i/>
          <w:iCs/>
        </w:rPr>
      </w:pPr>
    </w:p>
    <w:p w14:paraId="3DDF4F97" w14:textId="36CDD340" w:rsidR="00E335A0" w:rsidRPr="00E335A0" w:rsidRDefault="00E335A0" w:rsidP="00E335A0">
      <w:pPr>
        <w:jc w:val="both"/>
      </w:pPr>
      <w:r w:rsidRPr="00326FA1">
        <w:rPr>
          <w:b/>
          <w:bCs/>
          <w:i/>
          <w:iCs/>
          <w:u w:val="single"/>
        </w:rPr>
        <w:t xml:space="preserve">Art </w:t>
      </w:r>
      <w:r>
        <w:rPr>
          <w:b/>
          <w:bCs/>
          <w:i/>
          <w:iCs/>
          <w:u w:val="single"/>
        </w:rPr>
        <w:t>38</w:t>
      </w:r>
      <w:r w:rsidRPr="00326FA1">
        <w:rPr>
          <w:b/>
          <w:bCs/>
          <w:i/>
          <w:iCs/>
          <w:u w:val="single"/>
        </w:rPr>
        <w:t xml:space="preserve">, lid </w:t>
      </w:r>
      <w:r>
        <w:rPr>
          <w:b/>
          <w:bCs/>
          <w:i/>
          <w:iCs/>
          <w:u w:val="single"/>
        </w:rPr>
        <w:t>6</w:t>
      </w:r>
      <w:r w:rsidRPr="00326FA1">
        <w:rPr>
          <w:b/>
          <w:bCs/>
          <w:i/>
          <w:iCs/>
          <w:u w:val="single"/>
        </w:rPr>
        <w:t>:</w:t>
      </w:r>
    </w:p>
    <w:p w14:paraId="2C3DE955" w14:textId="193914CA" w:rsidR="00102CAF" w:rsidRPr="00912F32" w:rsidRDefault="0036762E" w:rsidP="00E335A0">
      <w:pPr>
        <w:jc w:val="both"/>
        <w:rPr>
          <w:i/>
          <w:iCs/>
        </w:rPr>
      </w:pPr>
      <w:r w:rsidRPr="0036762E">
        <w:rPr>
          <w:i/>
          <w:iCs/>
        </w:rPr>
        <w:t>De steunintensiteit kan worden verhoogd met 15 procentpunten voor investeringen in steungebieden die aan de voorwaarden van artikel 107, lid 3, onder a), van het Verdrag voldoen, en met 5 procentpunten voor investeringen in steungebieden die aan de voorwaarden van artikel 107, lid 3, onder c), van het Verdrag voldoen.</w:t>
      </w:r>
    </w:p>
    <w:p w14:paraId="6E1690ED" w14:textId="5477E5CD" w:rsidR="008C4B99" w:rsidRDefault="008C4B99" w:rsidP="00E335A0">
      <w:pPr>
        <w:jc w:val="both"/>
      </w:pPr>
    </w:p>
    <w:p w14:paraId="22B5B23C" w14:textId="74AE2240" w:rsidR="00C33ACC" w:rsidRDefault="00C33ACC" w:rsidP="00C33ACC">
      <w:pPr>
        <w:jc w:val="both"/>
        <w:rPr>
          <w:b/>
          <w:bCs/>
          <w:i/>
          <w:iCs/>
          <w:u w:val="single"/>
        </w:rPr>
      </w:pPr>
      <w:bookmarkStart w:id="7" w:name="_Hlk105150757"/>
      <w:bookmarkStart w:id="8" w:name="_Hlk105151671"/>
      <w:bookmarkStart w:id="9" w:name="_Hlk105152516"/>
      <w:r>
        <w:rPr>
          <w:b/>
          <w:bCs/>
        </w:rPr>
        <w:t xml:space="preserve">Toelichting: </w:t>
      </w:r>
      <w:bookmarkStart w:id="10" w:name="_Hlk105150587"/>
      <w:r>
        <w:t>„</w:t>
      </w:r>
      <w:bookmarkEnd w:id="10"/>
      <w:r>
        <w:t>steungebieden”</w:t>
      </w:r>
      <w:bookmarkEnd w:id="7"/>
      <w:r>
        <w:t xml:space="preserve">: </w:t>
      </w:r>
      <w:bookmarkEnd w:id="8"/>
      <w:r w:rsidR="00435EE8" w:rsidRPr="00435EE8">
        <w:t>gebieden die zijn aangewezen op een op grond van artikel 107, lid 3, punten a) en c), van het Verdrag goedgekeurde regionale-steunkaart en die van kracht is op het tijdstip van de toekenning van de steun</w:t>
      </w:r>
      <w:r>
        <w:t>.</w:t>
      </w:r>
      <w:r>
        <w:rPr>
          <w:rStyle w:val="Voetnootmarkering"/>
        </w:rPr>
        <w:footnoteReference w:id="2"/>
      </w:r>
    </w:p>
    <w:bookmarkEnd w:id="9"/>
    <w:p w14:paraId="627B7606" w14:textId="77777777" w:rsidR="00C33ACC" w:rsidRDefault="00C33ACC" w:rsidP="00E335A0">
      <w:pPr>
        <w:jc w:val="both"/>
      </w:pPr>
    </w:p>
    <w:p w14:paraId="2BCE3C42" w14:textId="77777777" w:rsidR="00725A15" w:rsidRDefault="00E76240" w:rsidP="00E335A0">
      <w:pPr>
        <w:jc w:val="both"/>
      </w:pPr>
      <w:r w:rsidRPr="00BB0726">
        <w:rPr>
          <w:b/>
          <w:bCs/>
        </w:rPr>
        <w:t>Toelichting</w:t>
      </w:r>
      <w:r>
        <w:t xml:space="preserve">: </w:t>
      </w:r>
    </w:p>
    <w:p w14:paraId="7359FC6C" w14:textId="4F5E82A5" w:rsidR="00E7133A" w:rsidRDefault="00725A15" w:rsidP="00E335A0">
      <w:pPr>
        <w:jc w:val="both"/>
      </w:pPr>
      <w:r>
        <w:t>Aan de hand van lid 4</w:t>
      </w:r>
      <w:r w:rsidR="00E335A0">
        <w:t>, lid 5 en lid 6</w:t>
      </w:r>
      <w:r>
        <w:t xml:space="preserve"> wordt het subsidiepercentage per deelnemende partij bepaald. Geef aan welk steunpercentage voor de verschillende projectpartners van toepassing is en waarom. </w:t>
      </w:r>
      <w:r w:rsidR="00E76240">
        <w:t xml:space="preserve"> </w:t>
      </w:r>
    </w:p>
    <w:p w14:paraId="44D38921" w14:textId="719C7833" w:rsidR="00E76240" w:rsidRDefault="00725A15" w:rsidP="00E335A0">
      <w:pPr>
        <w:jc w:val="both"/>
      </w:pPr>
      <w:r>
        <w:rPr>
          <w:noProof/>
          <w:lang w:eastAsia="nl-NL"/>
        </w:rPr>
        <w:lastRenderedPageBreak/>
        <mc:AlternateContent>
          <mc:Choice Requires="wps">
            <w:drawing>
              <wp:anchor distT="45720" distB="45720" distL="114300" distR="114300" simplePos="0" relativeHeight="251663360" behindDoc="0" locked="0" layoutInCell="1" allowOverlap="1" wp14:anchorId="73762CF9" wp14:editId="40B237DB">
                <wp:simplePos x="0" y="0"/>
                <wp:positionH relativeFrom="margin">
                  <wp:posOffset>22860</wp:posOffset>
                </wp:positionH>
                <wp:positionV relativeFrom="paragraph">
                  <wp:posOffset>235585</wp:posOffset>
                </wp:positionV>
                <wp:extent cx="5404485" cy="633730"/>
                <wp:effectExtent l="0" t="0" r="24765" b="13970"/>
                <wp:wrapTopAndBottom/>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633730"/>
                        </a:xfrm>
                        <a:prstGeom prst="rect">
                          <a:avLst/>
                        </a:prstGeom>
                        <a:solidFill>
                          <a:srgbClr val="FFFFFF"/>
                        </a:solidFill>
                        <a:ln w="9525">
                          <a:solidFill>
                            <a:srgbClr val="000000"/>
                          </a:solidFill>
                          <a:miter lim="800000"/>
                          <a:headEnd/>
                          <a:tailEnd/>
                        </a:ln>
                      </wps:spPr>
                      <wps:txbx>
                        <w:txbxContent>
                          <w:p w14:paraId="44584030" w14:textId="5194FFE4" w:rsidR="00725A15" w:rsidRPr="002A62AB" w:rsidRDefault="00725A15" w:rsidP="00E335A0">
                            <w:pPr>
                              <w:jc w:val="both"/>
                              <w:rPr>
                                <w:b/>
                                <w:bCs/>
                              </w:rPr>
                            </w:pPr>
                            <w:r w:rsidRPr="002A62AB">
                              <w:rPr>
                                <w:b/>
                                <w:bCs/>
                              </w:rPr>
                              <w:t xml:space="preserve">Geef hier aan </w:t>
                            </w:r>
                            <w:r>
                              <w:rPr>
                                <w:b/>
                                <w:bCs/>
                              </w:rPr>
                              <w:t xml:space="preserve">de hand van artikel </w:t>
                            </w:r>
                            <w:r w:rsidR="007E1ED2">
                              <w:rPr>
                                <w:b/>
                                <w:bCs/>
                              </w:rPr>
                              <w:t>38</w:t>
                            </w:r>
                            <w:r>
                              <w:rPr>
                                <w:b/>
                                <w:bCs/>
                              </w:rPr>
                              <w:t xml:space="preserve">, lid </w:t>
                            </w:r>
                            <w:r w:rsidR="007E1ED2">
                              <w:rPr>
                                <w:b/>
                                <w:bCs/>
                              </w:rPr>
                              <w:t>4</w:t>
                            </w:r>
                            <w:r w:rsidR="00E335A0">
                              <w:rPr>
                                <w:b/>
                                <w:bCs/>
                              </w:rPr>
                              <w:t xml:space="preserve">, </w:t>
                            </w:r>
                            <w:r>
                              <w:rPr>
                                <w:b/>
                                <w:bCs/>
                              </w:rPr>
                              <w:t xml:space="preserve">lid </w:t>
                            </w:r>
                            <w:r w:rsidR="007E1ED2">
                              <w:rPr>
                                <w:b/>
                                <w:bCs/>
                              </w:rPr>
                              <w:t>5</w:t>
                            </w:r>
                            <w:r w:rsidR="00E335A0">
                              <w:rPr>
                                <w:b/>
                                <w:bCs/>
                              </w:rPr>
                              <w:t xml:space="preserve"> en lid 6</w:t>
                            </w:r>
                            <w:r>
                              <w:rPr>
                                <w:b/>
                                <w:bCs/>
                              </w:rPr>
                              <w:t xml:space="preserve">, aan welk subsidiepercentage per projectpartner wordt gehanteerd en </w:t>
                            </w:r>
                            <w:r w:rsidRPr="002A62AB">
                              <w:rPr>
                                <w:b/>
                                <w:bCs/>
                              </w:rPr>
                              <w:t>waarom:</w:t>
                            </w:r>
                          </w:p>
                          <w:p w14:paraId="08A33BD8" w14:textId="77777777" w:rsidR="00725A15" w:rsidRDefault="00725A15" w:rsidP="00E335A0">
                            <w:pPr>
                              <w:jc w:val="both"/>
                            </w:pPr>
                          </w:p>
                          <w:p w14:paraId="793B8F1A" w14:textId="77777777" w:rsidR="00725A15" w:rsidRDefault="00725A15" w:rsidP="00E335A0">
                            <w:pPr>
                              <w:jc w:val="both"/>
                            </w:pPr>
                          </w:p>
                          <w:p w14:paraId="7CEDDD24" w14:textId="77777777" w:rsidR="00725A15" w:rsidRDefault="00725A15" w:rsidP="00E335A0">
                            <w:pPr>
                              <w:jc w:val="both"/>
                            </w:pPr>
                          </w:p>
                          <w:p w14:paraId="4C49A24B" w14:textId="77777777" w:rsidR="00725A15" w:rsidRDefault="00725A15" w:rsidP="00E335A0">
                            <w:pPr>
                              <w:jc w:val="both"/>
                            </w:pPr>
                          </w:p>
                          <w:p w14:paraId="3FE3E698" w14:textId="77777777" w:rsidR="00725A15" w:rsidRDefault="00725A15" w:rsidP="00E335A0">
                            <w:pPr>
                              <w:jc w:val="both"/>
                            </w:pPr>
                          </w:p>
                          <w:p w14:paraId="25123CC6" w14:textId="77777777" w:rsidR="00725A15" w:rsidRDefault="00725A15" w:rsidP="00E335A0">
                            <w:pPr>
                              <w:jc w:val="both"/>
                            </w:pPr>
                          </w:p>
                          <w:p w14:paraId="47B22C74" w14:textId="77777777" w:rsidR="00725A15" w:rsidRDefault="00725A15" w:rsidP="00E335A0">
                            <w:pPr>
                              <w:jc w:val="both"/>
                            </w:pPr>
                          </w:p>
                          <w:p w14:paraId="196044A5" w14:textId="77777777" w:rsidR="00725A15" w:rsidRDefault="00725A15" w:rsidP="00E335A0">
                            <w:pPr>
                              <w:jc w:val="both"/>
                            </w:pPr>
                          </w:p>
                          <w:p w14:paraId="1D363400" w14:textId="77777777" w:rsidR="00725A15" w:rsidRDefault="00725A15" w:rsidP="00E335A0">
                            <w:pPr>
                              <w:jc w:val="both"/>
                            </w:pP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762CF9" id="Tekstvak 4" o:spid="_x0000_s1028" type="#_x0000_t202" style="position:absolute;left:0;text-align:left;margin-left:1.8pt;margin-top:18.55pt;width:425.55pt;height:49.9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OlRFQIAACYEAAAOAAAAZHJzL2Uyb0RvYy54bWysU81u2zAMvg/YOwi6L3YSp02NKEWXLsOA&#10;7gfo9gCyLMfCZFGTlNjZ04+S0zTotsswHQRSpD6SH8nV7dBpcpDOKzCMTic5JdIIqJXZMfrt6/bN&#10;khIfuKm5BiMZPUpPb9evX616W8oZtKBr6QiCGF/2ltE2BFtmmRet7LifgJUGjQ24jgdU3S6rHe8R&#10;vdPZLM+vsh5cbR0I6T2+3o9Guk74TSNF+Nw0XgaiGcXcQrpduqt4Z+sVL3eO21aJUxr8H7LouDIY&#10;9Ax1zwMne6d+g+qUcOChCRMBXQZNo4RMNWA10/xFNY8ttzLVguR4e6bJ/z9Y8enwaL84Eoa3MGAD&#10;UxHePoD47omBTcvNTt45B30reY2Bp5GyrLe+PH2NVPvSR5Cq/wg1NpnvAySgoXFdZAXrJIiODTie&#10;SZdDIAIfF0VeFMsFJQJtV/P59Tx1JePl02/rfHgvoSNRYNRhUxM6Pzz4ELPh5ZNLDOZBq3qrtE6K&#10;21Ub7ciB4wBs00kFvHDThvSM3ixmi5GAv0Lk6fwJolMBJ1mrjtHl2YmXkbZ3pk5zFrjSo4wpa3Pi&#10;MVI3khiGaiCqZnQWA0RaK6iPSKyDcXBx0VBowf2kpMehZdT/2HMnKdEfDDbnZloUccqTUiyuZ6i4&#10;S0t1aeFGIBSjgZJR3IS0GYk3e4dN3KrE73Mmp5RxGBPtp8WJ036pJ6/n9V7/AgAA//8DAFBLAwQU&#10;AAYACAAAACEAAuMc/90AAAAIAQAADwAAAGRycy9kb3ducmV2LnhtbEyPwU7DMAyG70i8Q2QkLhNL&#10;R2k3StMJJu3EaWXcs8a0FY1Tkmzr3h5zGifL+j/9/lyuJzuIE/rQO1KwmCcgkBpnemoV7D+2DysQ&#10;IWoyenCECi4YYF3d3pS6MO5MOzzVsRVcQqHQCroYx0LK0HRodZi7EYmzL+etjrz6Vhqvz1xuB/mY&#10;JLm0uie+0OkRNx023/XRKsh/6nT2/mlmtLts33xjM7PZZ0rd302vLyAiTvEKw58+q0PFTgd3JBPE&#10;oCDNGeSxXIDgeJU9LUEcmEvzZ5BVKf8/UP0CAAD//wMAUEsBAi0AFAAGAAgAAAAhALaDOJL+AAAA&#10;4QEAABMAAAAAAAAAAAAAAAAAAAAAAFtDb250ZW50X1R5cGVzXS54bWxQSwECLQAUAAYACAAAACEA&#10;OP0h/9YAAACUAQAACwAAAAAAAAAAAAAAAAAvAQAAX3JlbHMvLnJlbHNQSwECLQAUAAYACAAAACEA&#10;txjpURUCAAAmBAAADgAAAAAAAAAAAAAAAAAuAgAAZHJzL2Uyb0RvYy54bWxQSwECLQAUAAYACAAA&#10;ACEAAuMc/90AAAAIAQAADwAAAAAAAAAAAAAAAABvBAAAZHJzL2Rvd25yZXYueG1sUEsFBgAAAAAE&#10;AAQA8wAAAHkFAAAAAA==&#10;">
                <v:textbox style="mso-fit-shape-to-text:t">
                  <w:txbxContent>
                    <w:p w14:paraId="44584030" w14:textId="5194FFE4" w:rsidR="00725A15" w:rsidRPr="002A62AB" w:rsidRDefault="00725A15" w:rsidP="00E335A0">
                      <w:pPr>
                        <w:jc w:val="both"/>
                        <w:rPr>
                          <w:b/>
                          <w:bCs/>
                        </w:rPr>
                      </w:pPr>
                      <w:r w:rsidRPr="002A62AB">
                        <w:rPr>
                          <w:b/>
                          <w:bCs/>
                        </w:rPr>
                        <w:t xml:space="preserve">Geef hier aan </w:t>
                      </w:r>
                      <w:r>
                        <w:rPr>
                          <w:b/>
                          <w:bCs/>
                        </w:rPr>
                        <w:t xml:space="preserve">de hand van artikel </w:t>
                      </w:r>
                      <w:r w:rsidR="007E1ED2">
                        <w:rPr>
                          <w:b/>
                          <w:bCs/>
                        </w:rPr>
                        <w:t>38</w:t>
                      </w:r>
                      <w:r>
                        <w:rPr>
                          <w:b/>
                          <w:bCs/>
                        </w:rPr>
                        <w:t xml:space="preserve">, lid </w:t>
                      </w:r>
                      <w:r w:rsidR="007E1ED2">
                        <w:rPr>
                          <w:b/>
                          <w:bCs/>
                        </w:rPr>
                        <w:t>4</w:t>
                      </w:r>
                      <w:r w:rsidR="00E335A0">
                        <w:rPr>
                          <w:b/>
                          <w:bCs/>
                        </w:rPr>
                        <w:t xml:space="preserve">, </w:t>
                      </w:r>
                      <w:r>
                        <w:rPr>
                          <w:b/>
                          <w:bCs/>
                        </w:rPr>
                        <w:t xml:space="preserve">lid </w:t>
                      </w:r>
                      <w:r w:rsidR="007E1ED2">
                        <w:rPr>
                          <w:b/>
                          <w:bCs/>
                        </w:rPr>
                        <w:t>5</w:t>
                      </w:r>
                      <w:r w:rsidR="00E335A0">
                        <w:rPr>
                          <w:b/>
                          <w:bCs/>
                        </w:rPr>
                        <w:t xml:space="preserve"> en lid 6</w:t>
                      </w:r>
                      <w:r>
                        <w:rPr>
                          <w:b/>
                          <w:bCs/>
                        </w:rPr>
                        <w:t xml:space="preserve">, aan welk subsidiepercentage per projectpartner wordt gehanteerd en </w:t>
                      </w:r>
                      <w:r w:rsidRPr="002A62AB">
                        <w:rPr>
                          <w:b/>
                          <w:bCs/>
                        </w:rPr>
                        <w:t>waarom:</w:t>
                      </w:r>
                    </w:p>
                    <w:p w14:paraId="08A33BD8" w14:textId="77777777" w:rsidR="00725A15" w:rsidRDefault="00725A15" w:rsidP="00E335A0">
                      <w:pPr>
                        <w:jc w:val="both"/>
                      </w:pPr>
                    </w:p>
                    <w:p w14:paraId="793B8F1A" w14:textId="77777777" w:rsidR="00725A15" w:rsidRDefault="00725A15" w:rsidP="00E335A0">
                      <w:pPr>
                        <w:jc w:val="both"/>
                      </w:pPr>
                    </w:p>
                    <w:p w14:paraId="7CEDDD24" w14:textId="77777777" w:rsidR="00725A15" w:rsidRDefault="00725A15" w:rsidP="00E335A0">
                      <w:pPr>
                        <w:jc w:val="both"/>
                      </w:pPr>
                    </w:p>
                    <w:p w14:paraId="4C49A24B" w14:textId="77777777" w:rsidR="00725A15" w:rsidRDefault="00725A15" w:rsidP="00E335A0">
                      <w:pPr>
                        <w:jc w:val="both"/>
                      </w:pPr>
                    </w:p>
                    <w:p w14:paraId="3FE3E698" w14:textId="77777777" w:rsidR="00725A15" w:rsidRDefault="00725A15" w:rsidP="00E335A0">
                      <w:pPr>
                        <w:jc w:val="both"/>
                      </w:pPr>
                    </w:p>
                    <w:p w14:paraId="25123CC6" w14:textId="77777777" w:rsidR="00725A15" w:rsidRDefault="00725A15" w:rsidP="00E335A0">
                      <w:pPr>
                        <w:jc w:val="both"/>
                      </w:pPr>
                    </w:p>
                    <w:p w14:paraId="47B22C74" w14:textId="77777777" w:rsidR="00725A15" w:rsidRDefault="00725A15" w:rsidP="00E335A0">
                      <w:pPr>
                        <w:jc w:val="both"/>
                      </w:pPr>
                    </w:p>
                    <w:p w14:paraId="196044A5" w14:textId="77777777" w:rsidR="00725A15" w:rsidRDefault="00725A15" w:rsidP="00E335A0">
                      <w:pPr>
                        <w:jc w:val="both"/>
                      </w:pPr>
                    </w:p>
                    <w:p w14:paraId="1D363400" w14:textId="77777777" w:rsidR="00725A15" w:rsidRDefault="00725A15" w:rsidP="00E335A0">
                      <w:pPr>
                        <w:jc w:val="both"/>
                      </w:pPr>
                      <w:r>
                        <w:t xml:space="preserve">  </w:t>
                      </w:r>
                    </w:p>
                  </w:txbxContent>
                </v:textbox>
                <w10:wrap type="topAndBottom" anchorx="margin"/>
              </v:shape>
            </w:pict>
          </mc:Fallback>
        </mc:AlternateContent>
      </w:r>
    </w:p>
    <w:p w14:paraId="400E8E35" w14:textId="12751152" w:rsidR="001B1401" w:rsidRDefault="001B1401" w:rsidP="00E335A0">
      <w:pPr>
        <w:jc w:val="both"/>
      </w:pPr>
    </w:p>
    <w:p w14:paraId="50E3ADFE" w14:textId="77777777" w:rsidR="00D02DF5" w:rsidRDefault="00D02DF5" w:rsidP="00E335A0">
      <w:pPr>
        <w:jc w:val="both"/>
      </w:pPr>
    </w:p>
    <w:p w14:paraId="13D42012" w14:textId="0E9B7F86" w:rsidR="00D02DF5" w:rsidRPr="00E335A0" w:rsidRDefault="00D02DF5" w:rsidP="00D02DF5">
      <w:pPr>
        <w:jc w:val="both"/>
      </w:pPr>
      <w:r w:rsidRPr="00326FA1">
        <w:rPr>
          <w:b/>
          <w:bCs/>
          <w:i/>
          <w:iCs/>
          <w:u w:val="single"/>
        </w:rPr>
        <w:t xml:space="preserve">Art </w:t>
      </w:r>
      <w:r>
        <w:rPr>
          <w:b/>
          <w:bCs/>
          <w:i/>
          <w:iCs/>
          <w:u w:val="single"/>
        </w:rPr>
        <w:t>38</w:t>
      </w:r>
      <w:r w:rsidRPr="00326FA1">
        <w:rPr>
          <w:b/>
          <w:bCs/>
          <w:i/>
          <w:iCs/>
          <w:u w:val="single"/>
        </w:rPr>
        <w:t xml:space="preserve">, lid </w:t>
      </w:r>
      <w:r>
        <w:rPr>
          <w:b/>
          <w:bCs/>
          <w:i/>
          <w:iCs/>
          <w:u w:val="single"/>
        </w:rPr>
        <w:t>7</w:t>
      </w:r>
      <w:r w:rsidRPr="00326FA1">
        <w:rPr>
          <w:b/>
          <w:bCs/>
          <w:i/>
          <w:iCs/>
          <w:u w:val="single"/>
        </w:rPr>
        <w:t>:</w:t>
      </w:r>
    </w:p>
    <w:p w14:paraId="3717C83F" w14:textId="6ED77DE2" w:rsidR="00D02DF5" w:rsidRPr="0053014C" w:rsidRDefault="0053014C" w:rsidP="00D02DF5">
      <w:pPr>
        <w:jc w:val="both"/>
      </w:pPr>
      <w:r w:rsidRPr="0053014C">
        <w:t>Niet van toepassing.</w:t>
      </w:r>
    </w:p>
    <w:p w14:paraId="2830EDCC" w14:textId="46E3F8DE" w:rsidR="00D02DF5" w:rsidRDefault="00D02DF5" w:rsidP="00D02DF5">
      <w:pPr>
        <w:jc w:val="both"/>
        <w:rPr>
          <w:i/>
          <w:iCs/>
        </w:rPr>
      </w:pPr>
    </w:p>
    <w:p w14:paraId="62E8185D" w14:textId="0C77237A" w:rsidR="00944F78" w:rsidRDefault="00944F78" w:rsidP="00D02DF5">
      <w:pPr>
        <w:jc w:val="both"/>
        <w:rPr>
          <w:i/>
          <w:iCs/>
        </w:rPr>
      </w:pPr>
    </w:p>
    <w:p w14:paraId="46ED8B0F" w14:textId="112989D0" w:rsidR="00A50797" w:rsidRPr="00E335A0" w:rsidRDefault="00A50797" w:rsidP="00A50797">
      <w:pPr>
        <w:jc w:val="both"/>
      </w:pPr>
      <w:r w:rsidRPr="00326FA1">
        <w:rPr>
          <w:b/>
          <w:bCs/>
          <w:i/>
          <w:iCs/>
          <w:u w:val="single"/>
        </w:rPr>
        <w:t xml:space="preserve">Art </w:t>
      </w:r>
      <w:r>
        <w:rPr>
          <w:b/>
          <w:bCs/>
          <w:i/>
          <w:iCs/>
          <w:u w:val="single"/>
        </w:rPr>
        <w:t>38</w:t>
      </w:r>
      <w:r w:rsidRPr="00326FA1">
        <w:rPr>
          <w:b/>
          <w:bCs/>
          <w:i/>
          <w:iCs/>
          <w:u w:val="single"/>
        </w:rPr>
        <w:t xml:space="preserve">, lid </w:t>
      </w:r>
      <w:r>
        <w:rPr>
          <w:b/>
          <w:bCs/>
          <w:i/>
          <w:iCs/>
          <w:u w:val="single"/>
        </w:rPr>
        <w:t>8</w:t>
      </w:r>
      <w:r w:rsidRPr="00326FA1">
        <w:rPr>
          <w:b/>
          <w:bCs/>
          <w:i/>
          <w:iCs/>
          <w:u w:val="single"/>
        </w:rPr>
        <w:t>:</w:t>
      </w:r>
    </w:p>
    <w:p w14:paraId="4C859420" w14:textId="42884116" w:rsidR="00944F78" w:rsidRDefault="00A50797" w:rsidP="00A50797">
      <w:pPr>
        <w:jc w:val="both"/>
        <w:rPr>
          <w:i/>
          <w:iCs/>
        </w:rPr>
      </w:pPr>
      <w:r w:rsidRPr="00A50797">
        <w:rPr>
          <w:i/>
          <w:iCs/>
        </w:rPr>
        <w:t>In afwijking van lid 3, punten a) tot en met d), en lid 7, kunnen de in aanmerking komende kosten worden bepaald zonder dat het nulscenario wordt vastgesteld en zonder dat er een concurrerende biedprocedure is. In dat geval zijn de in aanmerking komende kosten de totale investeringskosten die rechtstreeks verband houden met het behalen van een hoger niveau van energie-efficiënte en worden de in de leden 4, 5 en 6 vastgestelde toepasselijke steunintensiteiten en verhogingen met 50 % verlaagd.</w:t>
      </w:r>
    </w:p>
    <w:p w14:paraId="07583052" w14:textId="77777777" w:rsidR="00A50797" w:rsidRDefault="00A50797" w:rsidP="00A50797">
      <w:pPr>
        <w:jc w:val="both"/>
        <w:rPr>
          <w:i/>
          <w:iCs/>
        </w:rPr>
      </w:pPr>
    </w:p>
    <w:p w14:paraId="1E7B7B58" w14:textId="594D5F9E" w:rsidR="00A50797" w:rsidRPr="00E01DAA" w:rsidRDefault="00A50797" w:rsidP="00A50797">
      <w:pPr>
        <w:jc w:val="both"/>
        <w:rPr>
          <w:i/>
          <w:iCs/>
        </w:rPr>
      </w:pPr>
      <w:r>
        <w:rPr>
          <w:noProof/>
          <w:lang w:eastAsia="nl-NL"/>
        </w:rPr>
        <mc:AlternateContent>
          <mc:Choice Requires="wps">
            <w:drawing>
              <wp:anchor distT="45720" distB="45720" distL="114300" distR="114300" simplePos="0" relativeHeight="251667456" behindDoc="0" locked="0" layoutInCell="1" allowOverlap="1" wp14:anchorId="085A225E" wp14:editId="04E52E31">
                <wp:simplePos x="0" y="0"/>
                <wp:positionH relativeFrom="margin">
                  <wp:posOffset>0</wp:posOffset>
                </wp:positionH>
                <wp:positionV relativeFrom="paragraph">
                  <wp:posOffset>219710</wp:posOffset>
                </wp:positionV>
                <wp:extent cx="5404485" cy="633730"/>
                <wp:effectExtent l="0" t="0" r="24765" b="20320"/>
                <wp:wrapTopAndBottom/>
                <wp:docPr id="2018607383" name="Tekstvak 2018607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633730"/>
                        </a:xfrm>
                        <a:prstGeom prst="rect">
                          <a:avLst/>
                        </a:prstGeom>
                        <a:solidFill>
                          <a:srgbClr val="FFFFFF"/>
                        </a:solidFill>
                        <a:ln w="9525">
                          <a:solidFill>
                            <a:srgbClr val="000000"/>
                          </a:solidFill>
                          <a:miter lim="800000"/>
                          <a:headEnd/>
                          <a:tailEnd/>
                        </a:ln>
                      </wps:spPr>
                      <wps:txbx>
                        <w:txbxContent>
                          <w:p w14:paraId="5D20F6AE" w14:textId="357D6C59" w:rsidR="00A50797" w:rsidRPr="002A62AB" w:rsidRDefault="00A50797" w:rsidP="00A50797">
                            <w:pPr>
                              <w:jc w:val="both"/>
                              <w:rPr>
                                <w:b/>
                                <w:bCs/>
                              </w:rPr>
                            </w:pPr>
                            <w:r>
                              <w:rPr>
                                <w:b/>
                                <w:bCs/>
                              </w:rPr>
                              <w:t>Indien van toepassing, g</w:t>
                            </w:r>
                            <w:r w:rsidRPr="002A62AB">
                              <w:rPr>
                                <w:b/>
                                <w:bCs/>
                              </w:rPr>
                              <w:t xml:space="preserve">eef hier aan </w:t>
                            </w:r>
                            <w:r>
                              <w:rPr>
                                <w:b/>
                                <w:bCs/>
                              </w:rPr>
                              <w:t>waarom wordt voldaan aan artikel 38, lid 8</w:t>
                            </w:r>
                            <w:r w:rsidRPr="002A62AB">
                              <w:rPr>
                                <w:b/>
                                <w:bCs/>
                              </w:rPr>
                              <w:t>:</w:t>
                            </w:r>
                          </w:p>
                          <w:p w14:paraId="54A468A5" w14:textId="77777777" w:rsidR="00A50797" w:rsidRDefault="00A50797" w:rsidP="00A50797">
                            <w:pPr>
                              <w:jc w:val="both"/>
                            </w:pPr>
                          </w:p>
                          <w:p w14:paraId="424F7050" w14:textId="77777777" w:rsidR="00A50797" w:rsidRDefault="00A50797" w:rsidP="00A50797">
                            <w:pPr>
                              <w:jc w:val="both"/>
                            </w:pPr>
                          </w:p>
                          <w:p w14:paraId="7C9475E4" w14:textId="77777777" w:rsidR="00A50797" w:rsidRDefault="00A50797" w:rsidP="00A50797">
                            <w:pPr>
                              <w:jc w:val="both"/>
                            </w:pPr>
                          </w:p>
                          <w:p w14:paraId="667B9AF2" w14:textId="77777777" w:rsidR="00A50797" w:rsidRDefault="00A50797" w:rsidP="00A50797">
                            <w:pPr>
                              <w:jc w:val="both"/>
                            </w:pPr>
                          </w:p>
                          <w:p w14:paraId="2EF41E24" w14:textId="77777777" w:rsidR="00A50797" w:rsidRDefault="00A50797" w:rsidP="00A50797">
                            <w:pPr>
                              <w:jc w:val="both"/>
                            </w:pPr>
                          </w:p>
                          <w:p w14:paraId="663517F4" w14:textId="77777777" w:rsidR="00A50797" w:rsidRDefault="00A50797" w:rsidP="00A50797">
                            <w:pPr>
                              <w:jc w:val="both"/>
                            </w:pPr>
                          </w:p>
                          <w:p w14:paraId="1DE4D36B" w14:textId="77777777" w:rsidR="00A50797" w:rsidRDefault="00A50797" w:rsidP="00A50797">
                            <w:pPr>
                              <w:jc w:val="both"/>
                            </w:pPr>
                          </w:p>
                          <w:p w14:paraId="6E8F794C" w14:textId="77777777" w:rsidR="00A50797" w:rsidRDefault="00A50797" w:rsidP="00A50797">
                            <w:pPr>
                              <w:jc w:val="both"/>
                            </w:pPr>
                          </w:p>
                          <w:p w14:paraId="112D591D" w14:textId="77777777" w:rsidR="00A50797" w:rsidRDefault="00A50797" w:rsidP="00A50797">
                            <w:pPr>
                              <w:jc w:val="both"/>
                            </w:pP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5A225E" id="Tekstvak 2018607383" o:spid="_x0000_s1029" type="#_x0000_t202" style="position:absolute;left:0;text-align:left;margin-left:0;margin-top:17.3pt;width:425.55pt;height:49.9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4enFQIAACYEAAAOAAAAZHJzL2Uyb0RvYy54bWysU81u2zAMvg/YOwi6L3YSp02NKEWXLsOA&#10;7gfo9gCyLMfCZFGTlNjZ04+S0zTotsswHQRSpD6SH8nV7dBpcpDOKzCMTic5JdIIqJXZMfrt6/bN&#10;khIfuKm5BiMZPUpPb9evX616W8oZtKBr6QiCGF/2ltE2BFtmmRet7LifgJUGjQ24jgdU3S6rHe8R&#10;vdPZLM+vsh5cbR0I6T2+3o9Guk74TSNF+Nw0XgaiGcXcQrpduqt4Z+sVL3eO21aJUxr8H7LouDIY&#10;9Ax1zwMne6d+g+qUcOChCRMBXQZNo4RMNWA10/xFNY8ttzLVguR4e6bJ/z9Y8enwaL84Eoa3MGAD&#10;UxHePoD47omBTcvNTt45B30reY2Bp5GyrLe+PH2NVPvSR5Cq/wg1NpnvAySgoXFdZAXrJIiODTie&#10;SZdDIAIfF0VeFMsFJQJtV/P59Tx1JePl02/rfHgvoSNRYNRhUxM6Pzz4ELPh5ZNLDOZBq3qrtE6K&#10;21Ub7ciB4wBs00kFvHDThvSM3ixmi5GAv0Lk6fwJolMBJ1mrjtHl2YmXkbZ3pk5zFrjSo4wpa3Pi&#10;MVI3khiGaiCqZnQeA0RaK6iPSKyDcXBx0VBowf2kpMehZdT/2HMnKdEfDDbnZloUccqTUiyuZ6i4&#10;S0t1aeFGIBSjgZJR3IS0GYk3e4dN3KrE73Mmp5RxGBPtp8WJ036pJ6/n9V7/AgAA//8DAFBLAwQU&#10;AAYACAAAACEA6A1xq9wAAAAHAQAADwAAAGRycy9kb3ducmV2LnhtbEyPzU7DMBCE70i8g7VIXCrq&#10;hPyoSuNUUKknTk3L3Y23SUS8DrHbpm/PcoLjaEYz35Sb2Q7iipPvHSmIlxEIpMaZnloFx8PuZQXC&#10;B01GD45QwR09bKrHh1IXxt1oj9c6tIJLyBdaQRfCWEjpmw6t9ks3IrF3dpPVgeXUSjPpG5fbQb5G&#10;US6t7okXOj3itsPmq75YBfl3nSw+Ps2C9vfd+9TYzGyPmVLPT/PbGkTAOfyF4Ref0aFippO7kPFi&#10;UMBHgoIkzUGwu8riGMSJY0magqxK+Z+/+gEAAP//AwBQSwECLQAUAAYACAAAACEAtoM4kv4AAADh&#10;AQAAEwAAAAAAAAAAAAAAAAAAAAAAW0NvbnRlbnRfVHlwZXNdLnhtbFBLAQItABQABgAIAAAAIQA4&#10;/SH/1gAAAJQBAAALAAAAAAAAAAAAAAAAAC8BAABfcmVscy8ucmVsc1BLAQItABQABgAIAAAAIQBl&#10;r4enFQIAACYEAAAOAAAAAAAAAAAAAAAAAC4CAABkcnMvZTJvRG9jLnhtbFBLAQItABQABgAIAAAA&#10;IQDoDXGr3AAAAAcBAAAPAAAAAAAAAAAAAAAAAG8EAABkcnMvZG93bnJldi54bWxQSwUGAAAAAAQA&#10;BADzAAAAeAUAAAAA&#10;">
                <v:textbox style="mso-fit-shape-to-text:t">
                  <w:txbxContent>
                    <w:p w14:paraId="5D20F6AE" w14:textId="357D6C59" w:rsidR="00A50797" w:rsidRPr="002A62AB" w:rsidRDefault="00A50797" w:rsidP="00A50797">
                      <w:pPr>
                        <w:jc w:val="both"/>
                        <w:rPr>
                          <w:b/>
                          <w:bCs/>
                        </w:rPr>
                      </w:pPr>
                      <w:r>
                        <w:rPr>
                          <w:b/>
                          <w:bCs/>
                        </w:rPr>
                        <w:t>Indien van toepassing, g</w:t>
                      </w:r>
                      <w:r w:rsidRPr="002A62AB">
                        <w:rPr>
                          <w:b/>
                          <w:bCs/>
                        </w:rPr>
                        <w:t xml:space="preserve">eef hier aan </w:t>
                      </w:r>
                      <w:r>
                        <w:rPr>
                          <w:b/>
                          <w:bCs/>
                        </w:rPr>
                        <w:t>waarom wordt voldaan aan artikel 38, lid 8</w:t>
                      </w:r>
                      <w:r w:rsidRPr="002A62AB">
                        <w:rPr>
                          <w:b/>
                          <w:bCs/>
                        </w:rPr>
                        <w:t>:</w:t>
                      </w:r>
                    </w:p>
                    <w:p w14:paraId="54A468A5" w14:textId="77777777" w:rsidR="00A50797" w:rsidRDefault="00A50797" w:rsidP="00A50797">
                      <w:pPr>
                        <w:jc w:val="both"/>
                      </w:pPr>
                    </w:p>
                    <w:p w14:paraId="424F7050" w14:textId="77777777" w:rsidR="00A50797" w:rsidRDefault="00A50797" w:rsidP="00A50797">
                      <w:pPr>
                        <w:jc w:val="both"/>
                      </w:pPr>
                    </w:p>
                    <w:p w14:paraId="7C9475E4" w14:textId="77777777" w:rsidR="00A50797" w:rsidRDefault="00A50797" w:rsidP="00A50797">
                      <w:pPr>
                        <w:jc w:val="both"/>
                      </w:pPr>
                    </w:p>
                    <w:p w14:paraId="667B9AF2" w14:textId="77777777" w:rsidR="00A50797" w:rsidRDefault="00A50797" w:rsidP="00A50797">
                      <w:pPr>
                        <w:jc w:val="both"/>
                      </w:pPr>
                    </w:p>
                    <w:p w14:paraId="2EF41E24" w14:textId="77777777" w:rsidR="00A50797" w:rsidRDefault="00A50797" w:rsidP="00A50797">
                      <w:pPr>
                        <w:jc w:val="both"/>
                      </w:pPr>
                    </w:p>
                    <w:p w14:paraId="663517F4" w14:textId="77777777" w:rsidR="00A50797" w:rsidRDefault="00A50797" w:rsidP="00A50797">
                      <w:pPr>
                        <w:jc w:val="both"/>
                      </w:pPr>
                    </w:p>
                    <w:p w14:paraId="1DE4D36B" w14:textId="77777777" w:rsidR="00A50797" w:rsidRDefault="00A50797" w:rsidP="00A50797">
                      <w:pPr>
                        <w:jc w:val="both"/>
                      </w:pPr>
                    </w:p>
                    <w:p w14:paraId="6E8F794C" w14:textId="77777777" w:rsidR="00A50797" w:rsidRDefault="00A50797" w:rsidP="00A50797">
                      <w:pPr>
                        <w:jc w:val="both"/>
                      </w:pPr>
                    </w:p>
                    <w:p w14:paraId="112D591D" w14:textId="77777777" w:rsidR="00A50797" w:rsidRDefault="00A50797" w:rsidP="00A50797">
                      <w:pPr>
                        <w:jc w:val="both"/>
                      </w:pPr>
                      <w:r>
                        <w:t xml:space="preserve">  </w:t>
                      </w:r>
                    </w:p>
                  </w:txbxContent>
                </v:textbox>
                <w10:wrap type="topAndBottom" anchorx="margin"/>
              </v:shape>
            </w:pict>
          </mc:Fallback>
        </mc:AlternateContent>
      </w:r>
    </w:p>
    <w:sectPr w:rsidR="00A50797" w:rsidRPr="00E01DAA" w:rsidSect="00201945">
      <w:headerReference w:type="even" r:id="rId12"/>
      <w:headerReference w:type="default" r:id="rId13"/>
      <w:footerReference w:type="even" r:id="rId14"/>
      <w:footerReference w:type="default" r:id="rId15"/>
      <w:headerReference w:type="first" r:id="rId16"/>
      <w:footerReference w:type="first" r:id="rId17"/>
      <w:pgSz w:w="11906" w:h="16838" w:code="9"/>
      <w:pgMar w:top="1418" w:right="226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3438" w14:textId="77777777" w:rsidR="00102CAF" w:rsidRDefault="00102CAF" w:rsidP="00DD409F">
      <w:pPr>
        <w:spacing w:line="240" w:lineRule="auto"/>
      </w:pPr>
      <w:r>
        <w:separator/>
      </w:r>
    </w:p>
  </w:endnote>
  <w:endnote w:type="continuationSeparator" w:id="0">
    <w:p w14:paraId="56A29F86" w14:textId="77777777" w:rsidR="00102CAF" w:rsidRDefault="00102CAF" w:rsidP="00DD4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D263" w14:textId="77777777" w:rsidR="009D327C" w:rsidRDefault="009D32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9FE7" w14:textId="58550CB4" w:rsidR="00D030B7" w:rsidRDefault="00D030B7" w:rsidP="00D030B7">
    <w:pPr>
      <w:pStyle w:val="Voettekst"/>
      <w:jc w:val="both"/>
      <w:rPr>
        <w:rFonts w:asciiTheme="minorHAnsi" w:hAnsiTheme="minorHAnsi" w:cstheme="minorHAnsi"/>
        <w:b/>
        <w:bCs/>
        <w:color w:val="004A99"/>
      </w:rPr>
    </w:pPr>
    <w:r>
      <w:rPr>
        <w:noProof/>
        <w:lang w:eastAsia="nl-NL"/>
      </w:rPr>
      <w:drawing>
        <wp:anchor distT="0" distB="0" distL="114300" distR="114300" simplePos="0" relativeHeight="251659264" behindDoc="0" locked="0" layoutInCell="1" allowOverlap="1" wp14:anchorId="15358B2B" wp14:editId="50905EC0">
          <wp:simplePos x="0" y="0"/>
          <wp:positionH relativeFrom="column">
            <wp:posOffset>4211955</wp:posOffset>
          </wp:positionH>
          <wp:positionV relativeFrom="paragraph">
            <wp:posOffset>-44450</wp:posOffset>
          </wp:positionV>
          <wp:extent cx="2313940" cy="414020"/>
          <wp:effectExtent l="0" t="0" r="0" b="5080"/>
          <wp:wrapThrough wrapText="bothSides">
            <wp:wrapPolygon edited="0">
              <wp:start x="0" y="0"/>
              <wp:lineTo x="0" y="20871"/>
              <wp:lineTo x="5690" y="20871"/>
              <wp:lineTo x="6935" y="20871"/>
              <wp:lineTo x="16182" y="16896"/>
              <wp:lineTo x="16182" y="15902"/>
              <wp:lineTo x="19383" y="6957"/>
              <wp:lineTo x="18850" y="2982"/>
              <wp:lineTo x="5690" y="0"/>
              <wp:lineTo x="0" y="0"/>
            </wp:wrapPolygon>
          </wp:wrapThrough>
          <wp:docPr id="5" name="Afbeelding 5" descr="Europees Logo met tekst medegefinancierd door de Europese Un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Europees Logo met tekst medegefinancierd door de Europese Un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4140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004A99"/>
      </w:rPr>
      <w:t xml:space="preserve">Programma </w:t>
    </w:r>
    <w:r w:rsidR="005E5E64">
      <w:rPr>
        <w:rFonts w:asciiTheme="minorHAnsi" w:hAnsiTheme="minorHAnsi" w:cstheme="minorHAnsi"/>
        <w:b/>
        <w:bCs/>
        <w:color w:val="004A99"/>
      </w:rPr>
      <w:t>JTF</w:t>
    </w:r>
    <w:r>
      <w:rPr>
        <w:rFonts w:asciiTheme="minorHAnsi" w:hAnsiTheme="minorHAnsi" w:cstheme="minorHAnsi"/>
        <w:b/>
        <w:bCs/>
        <w:color w:val="004A99"/>
      </w:rPr>
      <w:t xml:space="preserve"> 2021-2027</w:t>
    </w:r>
  </w:p>
  <w:p w14:paraId="621CE33C" w14:textId="77777777" w:rsidR="009D327C" w:rsidRPr="00D030B7" w:rsidRDefault="009D327C" w:rsidP="00D030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20C45" w14:textId="77777777" w:rsidR="009D327C" w:rsidRDefault="009D32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8D51" w14:textId="77777777" w:rsidR="00102CAF" w:rsidRPr="00571B71" w:rsidRDefault="005E5E64" w:rsidP="00571B71">
      <w:pPr>
        <w:spacing w:line="240" w:lineRule="auto"/>
        <w:rPr>
          <w:sz w:val="14"/>
        </w:rPr>
      </w:pPr>
      <w:r>
        <w:rPr>
          <w:sz w:val="14"/>
        </w:rPr>
        <w:pict w14:anchorId="122F5AA2">
          <v:rect id="_x0000_i1025" style="width:453.6pt;height:1pt" o:hralign="center" o:hrstd="t" o:hrnoshade="t" o:hr="t" fillcolor="black [3213]" stroked="f"/>
        </w:pict>
      </w:r>
    </w:p>
  </w:footnote>
  <w:footnote w:type="continuationSeparator" w:id="0">
    <w:p w14:paraId="7347C7CD" w14:textId="77777777" w:rsidR="00102CAF" w:rsidRPr="00571B71" w:rsidRDefault="00102CAF" w:rsidP="00DD409F">
      <w:pPr>
        <w:spacing w:line="240" w:lineRule="auto"/>
        <w:rPr>
          <w:sz w:val="14"/>
        </w:rPr>
      </w:pPr>
      <w:r w:rsidRPr="00571B71">
        <w:rPr>
          <w:sz w:val="14"/>
        </w:rPr>
        <w:continuationSeparator/>
      </w:r>
    </w:p>
  </w:footnote>
  <w:footnote w:type="continuationNotice" w:id="1">
    <w:p w14:paraId="6F31F187" w14:textId="77777777" w:rsidR="00102CAF" w:rsidRPr="00571B71" w:rsidRDefault="00102CAF" w:rsidP="00AC7021">
      <w:pPr>
        <w:spacing w:line="240" w:lineRule="auto"/>
        <w:ind w:left="284" w:hanging="284"/>
        <w:rPr>
          <w:rFonts w:cs="Arial"/>
          <w:sz w:val="14"/>
          <w:szCs w:val="14"/>
        </w:rPr>
      </w:pPr>
    </w:p>
  </w:footnote>
  <w:footnote w:id="2">
    <w:p w14:paraId="2F8373C7" w14:textId="77777777" w:rsidR="00C33ACC" w:rsidRDefault="00C33ACC" w:rsidP="00C33ACC">
      <w:pPr>
        <w:pStyle w:val="Voetnoottekst"/>
      </w:pPr>
      <w:bookmarkStart w:id="11" w:name="_Hlk105152029"/>
      <w:bookmarkStart w:id="12" w:name="_Hlk105152030"/>
      <w:r>
        <w:rPr>
          <w:rStyle w:val="Voetnootmarkering"/>
        </w:rPr>
        <w:footnoteRef/>
      </w:r>
      <w:r>
        <w:t xml:space="preserve"> Zie de website van de Beheerautoriteit voor een overzichtskaart van de a- en c-steungebieden in de betreffende regio.</w:t>
      </w:r>
      <w:bookmarkEnd w:id="11"/>
      <w:bookmarkEnd w:id="1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CF0C" w14:textId="77777777" w:rsidR="009D327C" w:rsidRDefault="009D32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3B4E6" w14:textId="77777777" w:rsidR="009D327C" w:rsidRDefault="009D32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1DD1" w14:textId="77777777" w:rsidR="009D327C" w:rsidRDefault="009D32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4" w15:restartNumberingAfterBreak="0">
    <w:nsid w:val="185B0C4D"/>
    <w:multiLevelType w:val="hybridMultilevel"/>
    <w:tmpl w:val="2718520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4603041"/>
    <w:multiLevelType w:val="multilevel"/>
    <w:tmpl w:val="E95C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821DC6"/>
    <w:multiLevelType w:val="hybridMultilevel"/>
    <w:tmpl w:val="C7B4CD64"/>
    <w:lvl w:ilvl="0" w:tplc="2A96165A">
      <w:start w:val="1"/>
      <w:numFmt w:val="decimal"/>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9F664E5"/>
    <w:multiLevelType w:val="multilevel"/>
    <w:tmpl w:val="D6CC1128"/>
    <w:lvl w:ilvl="0">
      <w:start w:val="1"/>
      <w:numFmt w:val="decimal"/>
      <w:pStyle w:val="Kop1"/>
      <w:lvlText w:val="%1"/>
      <w:lvlJc w:val="left"/>
      <w:pPr>
        <w:ind w:left="851" w:hanging="851"/>
      </w:pPr>
      <w:rPr>
        <w:rFonts w:ascii="Arial" w:hAnsi="Arial" w:hint="default"/>
        <w:b w:val="0"/>
        <w:i w:val="0"/>
        <w:sz w:val="24"/>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851" w:hanging="851"/>
      </w:pPr>
      <w:rPr>
        <w:rFonts w:hint="default"/>
      </w:rPr>
    </w:lvl>
    <w:lvl w:ilvl="6">
      <w:start w:val="1"/>
      <w:numFmt w:val="decimal"/>
      <w:pStyle w:val="Kop7"/>
      <w:lvlText w:val="%1.%2.%3.%4.%5.%6.%7"/>
      <w:lvlJc w:val="left"/>
      <w:pPr>
        <w:ind w:left="851" w:hanging="851"/>
      </w:pPr>
      <w:rPr>
        <w:rFonts w:hint="default"/>
      </w:rPr>
    </w:lvl>
    <w:lvl w:ilvl="7">
      <w:start w:val="1"/>
      <w:numFmt w:val="decimal"/>
      <w:pStyle w:val="Kop8"/>
      <w:lvlText w:val="%1.%2.%3.%4.%5.%6.%7.%8"/>
      <w:lvlJc w:val="left"/>
      <w:pPr>
        <w:ind w:left="851" w:hanging="851"/>
      </w:pPr>
      <w:rPr>
        <w:rFonts w:hint="default"/>
      </w:rPr>
    </w:lvl>
    <w:lvl w:ilvl="8">
      <w:start w:val="1"/>
      <w:numFmt w:val="decimal"/>
      <w:pStyle w:val="Kop9"/>
      <w:lvlText w:val="%1.%2.%3.%4.%5.%6.%7.%8.%9"/>
      <w:lvlJc w:val="left"/>
      <w:pPr>
        <w:ind w:left="851" w:hanging="851"/>
      </w:pPr>
      <w:rPr>
        <w:rFonts w:hint="default"/>
      </w:rPr>
    </w:lvl>
  </w:abstractNum>
  <w:abstractNum w:abstractNumId="8"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3447EF"/>
    <w:multiLevelType w:val="hybridMultilevel"/>
    <w:tmpl w:val="D6ACFEF4"/>
    <w:lvl w:ilvl="0" w:tplc="B83080B8">
      <w:numFmt w:val="bullet"/>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407919D8"/>
    <w:multiLevelType w:val="hybridMultilevel"/>
    <w:tmpl w:val="5008B37E"/>
    <w:lvl w:ilvl="0" w:tplc="A23EA0C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5E557F7"/>
    <w:multiLevelType w:val="hybridMultilevel"/>
    <w:tmpl w:val="45728422"/>
    <w:lvl w:ilvl="0" w:tplc="61429CC2">
      <w:start w:val="1"/>
      <w:numFmt w:val="bullet"/>
      <w:pStyle w:val="LijstBullits"/>
      <w:lvlText w:val=""/>
      <w:lvlJc w:val="left"/>
      <w:pPr>
        <w:ind w:left="284" w:hanging="284"/>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43423610">
    <w:abstractNumId w:val="8"/>
  </w:num>
  <w:num w:numId="2" w16cid:durableId="609899106">
    <w:abstractNumId w:val="3"/>
  </w:num>
  <w:num w:numId="3" w16cid:durableId="218054659">
    <w:abstractNumId w:val="12"/>
  </w:num>
  <w:num w:numId="4" w16cid:durableId="1907911733">
    <w:abstractNumId w:val="7"/>
  </w:num>
  <w:num w:numId="5" w16cid:durableId="1119570718">
    <w:abstractNumId w:val="0"/>
  </w:num>
  <w:num w:numId="6" w16cid:durableId="310987266">
    <w:abstractNumId w:val="11"/>
  </w:num>
  <w:num w:numId="7" w16cid:durableId="1250389395">
    <w:abstractNumId w:val="1"/>
  </w:num>
  <w:num w:numId="8" w16cid:durableId="750154447">
    <w:abstractNumId w:val="9"/>
  </w:num>
  <w:num w:numId="9" w16cid:durableId="1424885794">
    <w:abstractNumId w:val="6"/>
  </w:num>
  <w:num w:numId="10" w16cid:durableId="1640263006">
    <w:abstractNumId w:val="7"/>
  </w:num>
  <w:num w:numId="11" w16cid:durableId="491069029">
    <w:abstractNumId w:val="7"/>
  </w:num>
  <w:num w:numId="12" w16cid:durableId="305279551">
    <w:abstractNumId w:val="2"/>
  </w:num>
  <w:num w:numId="13" w16cid:durableId="305472109">
    <w:abstractNumId w:val="5"/>
  </w:num>
  <w:num w:numId="14" w16cid:durableId="319623740">
    <w:abstractNumId w:val="10"/>
  </w:num>
  <w:num w:numId="15" w16cid:durableId="684290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284"/>
  <w:hyphenationZone w:val="425"/>
  <w:characterSpacingControl w:val="doNotCompress"/>
  <w:hdrShapeDefaults>
    <o:shapedefaults v:ext="edit" spidmax="57346"/>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AF"/>
    <w:rsid w:val="00007469"/>
    <w:rsid w:val="00021666"/>
    <w:rsid w:val="00072673"/>
    <w:rsid w:val="000D1C37"/>
    <w:rsid w:val="000D3E45"/>
    <w:rsid w:val="000F3550"/>
    <w:rsid w:val="00102CAF"/>
    <w:rsid w:val="00102D36"/>
    <w:rsid w:val="00110A65"/>
    <w:rsid w:val="001248A8"/>
    <w:rsid w:val="001955D0"/>
    <w:rsid w:val="00197612"/>
    <w:rsid w:val="001B1401"/>
    <w:rsid w:val="001B5BF7"/>
    <w:rsid w:val="001C405B"/>
    <w:rsid w:val="001C517A"/>
    <w:rsid w:val="001D03DE"/>
    <w:rsid w:val="00201945"/>
    <w:rsid w:val="00211907"/>
    <w:rsid w:val="00225690"/>
    <w:rsid w:val="00267E3F"/>
    <w:rsid w:val="0028560D"/>
    <w:rsid w:val="002A40B7"/>
    <w:rsid w:val="002C2F73"/>
    <w:rsid w:val="002D7EE3"/>
    <w:rsid w:val="003408E8"/>
    <w:rsid w:val="0036762E"/>
    <w:rsid w:val="003812AF"/>
    <w:rsid w:val="003849F9"/>
    <w:rsid w:val="003950D3"/>
    <w:rsid w:val="003A2066"/>
    <w:rsid w:val="003C0901"/>
    <w:rsid w:val="003D6486"/>
    <w:rsid w:val="003D648B"/>
    <w:rsid w:val="003E7837"/>
    <w:rsid w:val="00406012"/>
    <w:rsid w:val="004138C8"/>
    <w:rsid w:val="00420F26"/>
    <w:rsid w:val="0042793D"/>
    <w:rsid w:val="00435EE8"/>
    <w:rsid w:val="00447DEC"/>
    <w:rsid w:val="00452EBF"/>
    <w:rsid w:val="00454CF1"/>
    <w:rsid w:val="004622C9"/>
    <w:rsid w:val="00465D20"/>
    <w:rsid w:val="00486687"/>
    <w:rsid w:val="004C76F8"/>
    <w:rsid w:val="004D55F1"/>
    <w:rsid w:val="004D7111"/>
    <w:rsid w:val="004D7F30"/>
    <w:rsid w:val="00524790"/>
    <w:rsid w:val="005258BA"/>
    <w:rsid w:val="0053014C"/>
    <w:rsid w:val="005471E0"/>
    <w:rsid w:val="005646E4"/>
    <w:rsid w:val="00571B15"/>
    <w:rsid w:val="00571B71"/>
    <w:rsid w:val="005831C5"/>
    <w:rsid w:val="005C7979"/>
    <w:rsid w:val="005D6FAE"/>
    <w:rsid w:val="005E5E64"/>
    <w:rsid w:val="005E6B57"/>
    <w:rsid w:val="005F161A"/>
    <w:rsid w:val="005F34FE"/>
    <w:rsid w:val="005F60F6"/>
    <w:rsid w:val="005F78E3"/>
    <w:rsid w:val="0061121B"/>
    <w:rsid w:val="00621815"/>
    <w:rsid w:val="00627D64"/>
    <w:rsid w:val="00630F0B"/>
    <w:rsid w:val="006571CE"/>
    <w:rsid w:val="00685E27"/>
    <w:rsid w:val="006A53D1"/>
    <w:rsid w:val="006D3559"/>
    <w:rsid w:val="006F05CC"/>
    <w:rsid w:val="006F631B"/>
    <w:rsid w:val="007045B8"/>
    <w:rsid w:val="0070659C"/>
    <w:rsid w:val="00725A15"/>
    <w:rsid w:val="0075030E"/>
    <w:rsid w:val="007630AC"/>
    <w:rsid w:val="007840F7"/>
    <w:rsid w:val="007D1CA1"/>
    <w:rsid w:val="007E1ED2"/>
    <w:rsid w:val="007F5D2B"/>
    <w:rsid w:val="00822991"/>
    <w:rsid w:val="00834F47"/>
    <w:rsid w:val="008418FE"/>
    <w:rsid w:val="00881667"/>
    <w:rsid w:val="008821A4"/>
    <w:rsid w:val="008858B5"/>
    <w:rsid w:val="00893CDE"/>
    <w:rsid w:val="00897528"/>
    <w:rsid w:val="008C4B99"/>
    <w:rsid w:val="00912F32"/>
    <w:rsid w:val="009226F1"/>
    <w:rsid w:val="00925438"/>
    <w:rsid w:val="009436D9"/>
    <w:rsid w:val="00944F78"/>
    <w:rsid w:val="00976BFB"/>
    <w:rsid w:val="00995CA7"/>
    <w:rsid w:val="00996F85"/>
    <w:rsid w:val="009C4E4D"/>
    <w:rsid w:val="009D327C"/>
    <w:rsid w:val="009D5089"/>
    <w:rsid w:val="009E02E7"/>
    <w:rsid w:val="00A01C22"/>
    <w:rsid w:val="00A30351"/>
    <w:rsid w:val="00A42DDE"/>
    <w:rsid w:val="00A50797"/>
    <w:rsid w:val="00A50BB8"/>
    <w:rsid w:val="00A76A29"/>
    <w:rsid w:val="00A8085F"/>
    <w:rsid w:val="00AC7021"/>
    <w:rsid w:val="00AF6D7F"/>
    <w:rsid w:val="00B216D8"/>
    <w:rsid w:val="00B44F8C"/>
    <w:rsid w:val="00B51362"/>
    <w:rsid w:val="00B83C70"/>
    <w:rsid w:val="00B85438"/>
    <w:rsid w:val="00BA3684"/>
    <w:rsid w:val="00BB0726"/>
    <w:rsid w:val="00BB6462"/>
    <w:rsid w:val="00BB7A6C"/>
    <w:rsid w:val="00BC7B2C"/>
    <w:rsid w:val="00BD6F96"/>
    <w:rsid w:val="00C33ACC"/>
    <w:rsid w:val="00C344BC"/>
    <w:rsid w:val="00C72E38"/>
    <w:rsid w:val="00C80912"/>
    <w:rsid w:val="00C93E9E"/>
    <w:rsid w:val="00CA5436"/>
    <w:rsid w:val="00CD1E0D"/>
    <w:rsid w:val="00D02DF5"/>
    <w:rsid w:val="00D030B7"/>
    <w:rsid w:val="00D1255B"/>
    <w:rsid w:val="00D548EE"/>
    <w:rsid w:val="00D7141E"/>
    <w:rsid w:val="00D842D8"/>
    <w:rsid w:val="00D93960"/>
    <w:rsid w:val="00D95557"/>
    <w:rsid w:val="00DA27F6"/>
    <w:rsid w:val="00DA6C3D"/>
    <w:rsid w:val="00DB5269"/>
    <w:rsid w:val="00DB61A2"/>
    <w:rsid w:val="00DD409F"/>
    <w:rsid w:val="00E005DA"/>
    <w:rsid w:val="00E01953"/>
    <w:rsid w:val="00E01DAA"/>
    <w:rsid w:val="00E161A6"/>
    <w:rsid w:val="00E335A0"/>
    <w:rsid w:val="00E43808"/>
    <w:rsid w:val="00E7133A"/>
    <w:rsid w:val="00E7563F"/>
    <w:rsid w:val="00E76240"/>
    <w:rsid w:val="00E921F4"/>
    <w:rsid w:val="00EC2A89"/>
    <w:rsid w:val="00EE515E"/>
    <w:rsid w:val="00EF4900"/>
    <w:rsid w:val="00EF64A6"/>
    <w:rsid w:val="00F13C3C"/>
    <w:rsid w:val="00F20B4C"/>
    <w:rsid w:val="00F23A27"/>
    <w:rsid w:val="00F5399E"/>
    <w:rsid w:val="00F55147"/>
    <w:rsid w:val="00F600BE"/>
    <w:rsid w:val="00F953EF"/>
    <w:rsid w:val="00FA3B14"/>
    <w:rsid w:val="00FA4F00"/>
    <w:rsid w:val="00FB0384"/>
    <w:rsid w:val="00FB3AB1"/>
    <w:rsid w:val="00FB42F5"/>
    <w:rsid w:val="00FD3202"/>
    <w:rsid w:val="00FD5610"/>
    <w:rsid w:val="00FE7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14:docId w14:val="58F310CA"/>
  <w15:chartTrackingRefBased/>
  <w15:docId w15:val="{DD59A4BF-3CAB-4448-99F0-93B2E598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PG Normaal (standaard)"/>
    <w:qFormat/>
    <w:rsid w:val="004C76F8"/>
    <w:pPr>
      <w:spacing w:line="280" w:lineRule="exact"/>
      <w:ind w:left="0" w:firstLine="0"/>
    </w:pPr>
  </w:style>
  <w:style w:type="paragraph" w:styleId="Kop1">
    <w:name w:val="heading 1"/>
    <w:aliases w:val="Kop 1 +nr Hoofdstuk genummerd"/>
    <w:next w:val="Standaard"/>
    <w:link w:val="Kop1Char"/>
    <w:autoRedefine/>
    <w:uiPriority w:val="9"/>
    <w:qFormat/>
    <w:rsid w:val="00EF4900"/>
    <w:pPr>
      <w:keepNext/>
      <w:keepLines/>
      <w:numPr>
        <w:numId w:val="4"/>
      </w:numPr>
      <w:tabs>
        <w:tab w:val="left" w:pos="851"/>
      </w:tabs>
      <w:outlineLvl w:val="0"/>
    </w:pPr>
    <w:rPr>
      <w:rFonts w:eastAsiaTheme="majorEastAsia" w:cstheme="majorBidi"/>
      <w:sz w:val="24"/>
      <w:szCs w:val="32"/>
    </w:rPr>
  </w:style>
  <w:style w:type="paragraph" w:styleId="Kop2">
    <w:name w:val="heading 2"/>
    <w:aliases w:val="Kop 2+nr Paragraafkop genummerd"/>
    <w:basedOn w:val="Kop1"/>
    <w:next w:val="Standaard"/>
    <w:link w:val="Kop2Char"/>
    <w:uiPriority w:val="9"/>
    <w:unhideWhenUsed/>
    <w:qFormat/>
    <w:rsid w:val="009226F1"/>
    <w:pPr>
      <w:numPr>
        <w:ilvl w:val="1"/>
      </w:numPr>
      <w:outlineLvl w:val="1"/>
    </w:pPr>
    <w:rPr>
      <w:b/>
      <w:sz w:val="20"/>
      <w:szCs w:val="26"/>
    </w:rPr>
  </w:style>
  <w:style w:type="paragraph" w:styleId="Kop3">
    <w:name w:val="heading 3"/>
    <w:aliases w:val="Kop 3+nr Subparagraafkop genummerd"/>
    <w:basedOn w:val="Kop2"/>
    <w:next w:val="Standaard"/>
    <w:link w:val="Kop3Char"/>
    <w:uiPriority w:val="9"/>
    <w:unhideWhenUsed/>
    <w:qFormat/>
    <w:rsid w:val="006D3559"/>
    <w:pPr>
      <w:numPr>
        <w:ilvl w:val="2"/>
      </w:numPr>
      <w:contextualSpacing/>
      <w:outlineLvl w:val="2"/>
    </w:pPr>
    <w:rPr>
      <w:b w:val="0"/>
      <w:szCs w:val="24"/>
    </w:rPr>
  </w:style>
  <w:style w:type="paragraph" w:styleId="Kop4">
    <w:name w:val="heading 4"/>
    <w:aliases w:val="Kop 4 Tussenkop"/>
    <w:basedOn w:val="Standaard"/>
    <w:next w:val="Standaard"/>
    <w:link w:val="Kop4Char"/>
    <w:uiPriority w:val="9"/>
    <w:unhideWhenUsed/>
    <w:qFormat/>
    <w:rsid w:val="001C517A"/>
    <w:pPr>
      <w:keepNext/>
      <w:keepLines/>
      <w:outlineLvl w:val="3"/>
    </w:pPr>
    <w:rPr>
      <w:rFonts w:eastAsiaTheme="majorEastAsia" w:cstheme="majorBidi"/>
      <w:b/>
      <w:iCs/>
      <w:sz w:val="18"/>
    </w:rPr>
  </w:style>
  <w:style w:type="paragraph" w:styleId="Kop5">
    <w:name w:val="heading 5"/>
    <w:basedOn w:val="Standaard"/>
    <w:next w:val="Standaard"/>
    <w:link w:val="Kop5Char"/>
    <w:uiPriority w:val="9"/>
    <w:semiHidden/>
    <w:unhideWhenUsed/>
    <w:rsid w:val="000D3E45"/>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nr Hoofdstuk genummerd Char"/>
    <w:basedOn w:val="Standaardalinea-lettertype"/>
    <w:link w:val="Kop1"/>
    <w:uiPriority w:val="9"/>
    <w:rsid w:val="00EF4900"/>
    <w:rPr>
      <w:rFonts w:ascii="Arial" w:eastAsiaTheme="majorEastAsia" w:hAnsi="Arial" w:cstheme="majorBidi"/>
      <w:sz w:val="24"/>
      <w:szCs w:val="32"/>
    </w:rPr>
  </w:style>
  <w:style w:type="paragraph" w:customStyle="1" w:styleId="Tabelbijschriftafbeeldingbijschrift">
    <w:name w:val="Tabelbijschrift+afbeeldingbijschrift"/>
    <w:basedOn w:val="Standaard"/>
    <w:link w:val="TabelbijschriftafbeeldingbijschriftChar"/>
    <w:qFormat/>
    <w:rsid w:val="00021666"/>
    <w:rPr>
      <w:sz w:val="16"/>
    </w:rPr>
  </w:style>
  <w:style w:type="character" w:customStyle="1" w:styleId="Kop2Char">
    <w:name w:val="Kop 2 Char"/>
    <w:aliases w:val="Kop 2+nr Paragraafkop genummerd Char"/>
    <w:basedOn w:val="Standaardalinea-lettertype"/>
    <w:link w:val="Kop2"/>
    <w:uiPriority w:val="9"/>
    <w:rsid w:val="009226F1"/>
    <w:rPr>
      <w:rFonts w:ascii="Arial" w:eastAsiaTheme="majorEastAsia" w:hAnsi="Arial" w:cstheme="majorBidi"/>
      <w:b/>
      <w:sz w:val="20"/>
      <w:szCs w:val="26"/>
    </w:rPr>
  </w:style>
  <w:style w:type="character" w:customStyle="1" w:styleId="Kop3Char">
    <w:name w:val="Kop 3 Char"/>
    <w:aliases w:val="Kop 3+nr Subparagraafkop genummerd Char"/>
    <w:basedOn w:val="Standaardalinea-lettertype"/>
    <w:link w:val="Kop3"/>
    <w:uiPriority w:val="9"/>
    <w:rsid w:val="006D3559"/>
    <w:rPr>
      <w:rFonts w:ascii="Arial" w:eastAsiaTheme="majorEastAsia" w:hAnsi="Arial" w:cstheme="majorBidi"/>
      <w:sz w:val="20"/>
      <w:szCs w:val="24"/>
    </w:rPr>
  </w:style>
  <w:style w:type="paragraph" w:customStyle="1" w:styleId="LijstBullits">
    <w:name w:val="Lijst Bullits"/>
    <w:basedOn w:val="Standaard"/>
    <w:link w:val="LijstBullitsChar"/>
    <w:qFormat/>
    <w:rsid w:val="001955D0"/>
    <w:pPr>
      <w:numPr>
        <w:numId w:val="6"/>
      </w:numPr>
      <w:contextualSpacing/>
    </w:pPr>
  </w:style>
  <w:style w:type="paragraph" w:customStyle="1" w:styleId="Lijstnummers">
    <w:name w:val="Lijst nummers"/>
    <w:basedOn w:val="Standaard"/>
    <w:link w:val="LijstnummersChar"/>
    <w:qFormat/>
    <w:rsid w:val="00571B15"/>
    <w:pPr>
      <w:numPr>
        <w:numId w:val="7"/>
      </w:numPr>
      <w:contextualSpacing/>
    </w:pPr>
  </w:style>
  <w:style w:type="character" w:customStyle="1" w:styleId="TabelbijschriftafbeeldingbijschriftChar">
    <w:name w:val="Tabelbijschrift+afbeeldingbijschrift Char"/>
    <w:basedOn w:val="Standaardalinea-lettertype"/>
    <w:link w:val="Tabelbijschriftafbeeldingbijschrift"/>
    <w:rsid w:val="00021666"/>
    <w:rPr>
      <w:rFonts w:ascii="Arial" w:hAnsi="Arial"/>
      <w:sz w:val="16"/>
    </w:rPr>
  </w:style>
  <w:style w:type="character" w:customStyle="1" w:styleId="LijstBullitsChar">
    <w:name w:val="Lijst Bullits Char"/>
    <w:basedOn w:val="Standaardalinea-lettertype"/>
    <w:link w:val="LijstBullits"/>
    <w:rsid w:val="001955D0"/>
    <w:rPr>
      <w:rFonts w:ascii="Georgia" w:hAnsi="Georgia"/>
      <w:sz w:val="19"/>
    </w:rPr>
  </w:style>
  <w:style w:type="character" w:customStyle="1" w:styleId="LijstnummersChar">
    <w:name w:val="Lijst nummers Char"/>
    <w:basedOn w:val="Standaardalinea-lettertype"/>
    <w:link w:val="Lijstnummers"/>
    <w:rsid w:val="00571B15"/>
    <w:rPr>
      <w:rFonts w:ascii="Georgia" w:hAnsi="Georgia"/>
      <w:sz w:val="19"/>
    </w:rPr>
  </w:style>
  <w:style w:type="character" w:customStyle="1" w:styleId="Kop4Char">
    <w:name w:val="Kop 4 Char"/>
    <w:aliases w:val="Kop 4 Tussenkop Char"/>
    <w:basedOn w:val="Standaardalinea-lettertype"/>
    <w:link w:val="Kop4"/>
    <w:uiPriority w:val="9"/>
    <w:rsid w:val="001C517A"/>
    <w:rPr>
      <w:rFonts w:ascii="Arial" w:eastAsiaTheme="majorEastAsia" w:hAnsi="Arial" w:cstheme="majorBidi"/>
      <w:b/>
      <w:iCs/>
      <w:sz w:val="18"/>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unhideWhenUsed/>
    <w:rsid w:val="002A40B7"/>
    <w:pPr>
      <w:tabs>
        <w:tab w:val="left" w:pos="284"/>
      </w:tabs>
      <w:spacing w:line="240" w:lineRule="auto"/>
    </w:pPr>
    <w:rPr>
      <w:sz w:val="14"/>
      <w:szCs w:val="20"/>
    </w:rPr>
  </w:style>
  <w:style w:type="character" w:customStyle="1" w:styleId="VoetnoottekstChar">
    <w:name w:val="Voetnoottekst Char"/>
    <w:basedOn w:val="Standaardalinea-lettertype"/>
    <w:link w:val="Voetnoottekst"/>
    <w:uiPriority w:val="99"/>
    <w:rsid w:val="002A40B7"/>
    <w:rPr>
      <w:rFonts w:ascii="Arial" w:hAnsi="Arial"/>
      <w:sz w:val="14"/>
      <w:szCs w:val="20"/>
    </w:rPr>
  </w:style>
  <w:style w:type="character" w:styleId="Voetnootmarkering">
    <w:name w:val="footnote reference"/>
    <w:basedOn w:val="Standaardalinea-lettertype"/>
    <w:uiPriority w:val="99"/>
    <w:semiHidden/>
    <w:unhideWhenUsed/>
    <w:rsid w:val="00685E27"/>
    <w:rPr>
      <w:rFonts w:ascii="Arial" w:hAnsi="Arial"/>
      <w:sz w:val="14"/>
      <w:vertAlign w:val="superscript"/>
    </w:rPr>
  </w:style>
  <w:style w:type="paragraph" w:styleId="Voettekst">
    <w:name w:val="footer"/>
    <w:basedOn w:val="Standaard"/>
    <w:link w:val="VoettekstChar"/>
    <w:uiPriority w:val="99"/>
    <w:unhideWhenUsed/>
    <w:rsid w:val="00AF6D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6D7F"/>
    <w:rPr>
      <w:rFonts w:ascii="Georgia" w:hAnsi="Georgia"/>
      <w:sz w:val="19"/>
    </w:rPr>
  </w:style>
  <w:style w:type="paragraph" w:styleId="Ballontekst">
    <w:name w:val="Balloon Text"/>
    <w:basedOn w:val="Standaard"/>
    <w:link w:val="BallontekstChar"/>
    <w:uiPriority w:val="99"/>
    <w:semiHidden/>
    <w:unhideWhenUsed/>
    <w:rsid w:val="00AF6D7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6D7F"/>
    <w:rPr>
      <w:rFonts w:ascii="Segoe UI" w:hAnsi="Segoe UI" w:cs="Segoe UI"/>
      <w:sz w:val="18"/>
      <w:szCs w:val="18"/>
    </w:rPr>
  </w:style>
  <w:style w:type="paragraph" w:styleId="Normaalweb">
    <w:name w:val="Normal (Web)"/>
    <w:basedOn w:val="Standaard"/>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jstalinea">
    <w:name w:val="List Paragraph"/>
    <w:basedOn w:val="Standaard"/>
    <w:uiPriority w:val="34"/>
    <w:rsid w:val="00FA3B14"/>
    <w:pPr>
      <w:ind w:left="720"/>
      <w:contextualSpacing/>
    </w:pPr>
  </w:style>
  <w:style w:type="character" w:styleId="Verwijzingopmerking">
    <w:name w:val="annotation reference"/>
    <w:basedOn w:val="Standaardalinea-lettertype"/>
    <w:uiPriority w:val="99"/>
    <w:semiHidden/>
    <w:unhideWhenUsed/>
    <w:rsid w:val="001B1401"/>
    <w:rPr>
      <w:sz w:val="16"/>
      <w:szCs w:val="16"/>
    </w:rPr>
  </w:style>
  <w:style w:type="paragraph" w:styleId="Tekstopmerking">
    <w:name w:val="annotation text"/>
    <w:basedOn w:val="Standaard"/>
    <w:link w:val="TekstopmerkingChar"/>
    <w:uiPriority w:val="99"/>
    <w:unhideWhenUsed/>
    <w:rsid w:val="001B1401"/>
    <w:pPr>
      <w:spacing w:line="240" w:lineRule="auto"/>
    </w:pPr>
    <w:rPr>
      <w:szCs w:val="20"/>
    </w:rPr>
  </w:style>
  <w:style w:type="character" w:customStyle="1" w:styleId="TekstopmerkingChar">
    <w:name w:val="Tekst opmerking Char"/>
    <w:basedOn w:val="Standaardalinea-lettertype"/>
    <w:link w:val="Tekstopmerking"/>
    <w:uiPriority w:val="99"/>
    <w:rsid w:val="001B1401"/>
    <w:rPr>
      <w:szCs w:val="20"/>
    </w:rPr>
  </w:style>
  <w:style w:type="paragraph" w:styleId="Onderwerpvanopmerking">
    <w:name w:val="annotation subject"/>
    <w:basedOn w:val="Tekstopmerking"/>
    <w:next w:val="Tekstopmerking"/>
    <w:link w:val="OnderwerpvanopmerkingChar"/>
    <w:uiPriority w:val="99"/>
    <w:semiHidden/>
    <w:unhideWhenUsed/>
    <w:rsid w:val="001B1401"/>
    <w:rPr>
      <w:b/>
      <w:bCs/>
    </w:rPr>
  </w:style>
  <w:style w:type="character" w:customStyle="1" w:styleId="OnderwerpvanopmerkingChar">
    <w:name w:val="Onderwerp van opmerking Char"/>
    <w:basedOn w:val="TekstopmerkingChar"/>
    <w:link w:val="Onderwerpvanopmerking"/>
    <w:uiPriority w:val="99"/>
    <w:semiHidden/>
    <w:rsid w:val="001B1401"/>
    <w:rPr>
      <w:b/>
      <w:bCs/>
      <w:szCs w:val="20"/>
    </w:rPr>
  </w:style>
  <w:style w:type="paragraph" w:styleId="Revisie">
    <w:name w:val="Revision"/>
    <w:hidden/>
    <w:uiPriority w:val="99"/>
    <w:semiHidden/>
    <w:rsid w:val="001B1401"/>
    <w:pPr>
      <w:spacing w:line="240" w:lineRule="auto"/>
      <w:ind w:left="0" w:firstLine="0"/>
    </w:pPr>
  </w:style>
  <w:style w:type="character" w:styleId="Hyperlink">
    <w:name w:val="Hyperlink"/>
    <w:basedOn w:val="Standaardalinea-lettertype"/>
    <w:uiPriority w:val="99"/>
    <w:unhideWhenUsed/>
    <w:rsid w:val="00A42DDE"/>
    <w:rPr>
      <w:color w:val="0000FF"/>
      <w:u w:val="single"/>
    </w:rPr>
  </w:style>
  <w:style w:type="character" w:styleId="GevolgdeHyperlink">
    <w:name w:val="FollowedHyperlink"/>
    <w:basedOn w:val="Standaardalinea-lettertype"/>
    <w:uiPriority w:val="99"/>
    <w:semiHidden/>
    <w:unhideWhenUsed/>
    <w:rsid w:val="0070659C"/>
    <w:rPr>
      <w:color w:val="954F72" w:themeColor="followedHyperlink"/>
      <w:u w:val="single"/>
    </w:rPr>
  </w:style>
  <w:style w:type="paragraph" w:styleId="Koptekst">
    <w:name w:val="header"/>
    <w:basedOn w:val="Standaard"/>
    <w:link w:val="KoptekstChar"/>
    <w:uiPriority w:val="99"/>
    <w:unhideWhenUsed/>
    <w:rsid w:val="009D327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D3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96097">
      <w:bodyDiv w:val="1"/>
      <w:marLeft w:val="0"/>
      <w:marRight w:val="0"/>
      <w:marTop w:val="0"/>
      <w:marBottom w:val="0"/>
      <w:divBdr>
        <w:top w:val="none" w:sz="0" w:space="0" w:color="auto"/>
        <w:left w:val="none" w:sz="0" w:space="0" w:color="auto"/>
        <w:bottom w:val="none" w:sz="0" w:space="0" w:color="auto"/>
        <w:right w:val="none" w:sz="0" w:space="0" w:color="auto"/>
      </w:divBdr>
    </w:div>
    <w:div w:id="1180045117">
      <w:bodyDiv w:val="1"/>
      <w:marLeft w:val="0"/>
      <w:marRight w:val="0"/>
      <w:marTop w:val="0"/>
      <w:marBottom w:val="0"/>
      <w:divBdr>
        <w:top w:val="none" w:sz="0" w:space="0" w:color="auto"/>
        <w:left w:val="none" w:sz="0" w:space="0" w:color="auto"/>
        <w:bottom w:val="none" w:sz="0" w:space="0" w:color="auto"/>
        <w:right w:val="none" w:sz="0" w:space="0" w:color="auto"/>
      </w:divBdr>
    </w:div>
    <w:div w:id="2011635413">
      <w:bodyDiv w:val="1"/>
      <w:marLeft w:val="0"/>
      <w:marRight w:val="0"/>
      <w:marTop w:val="0"/>
      <w:marBottom w:val="0"/>
      <w:divBdr>
        <w:top w:val="none" w:sz="0" w:space="0" w:color="auto"/>
        <w:left w:val="none" w:sz="0" w:space="0" w:color="auto"/>
        <w:bottom w:val="none" w:sz="0" w:space="0" w:color="auto"/>
        <w:right w:val="none" w:sz="0" w:space="0" w:color="auto"/>
      </w:divBdr>
      <w:divsChild>
        <w:div w:id="831916052">
          <w:marLeft w:val="0"/>
          <w:marRight w:val="0"/>
          <w:marTop w:val="0"/>
          <w:marBottom w:val="0"/>
          <w:divBdr>
            <w:top w:val="none" w:sz="0" w:space="0" w:color="auto"/>
            <w:left w:val="none" w:sz="0" w:space="0" w:color="auto"/>
            <w:bottom w:val="none" w:sz="0" w:space="0" w:color="auto"/>
            <w:right w:val="none" w:sz="0" w:space="0" w:color="auto"/>
          </w:divBdr>
          <w:divsChild>
            <w:div w:id="1959604352">
              <w:marLeft w:val="0"/>
              <w:marRight w:val="0"/>
              <w:marTop w:val="0"/>
              <w:marBottom w:val="450"/>
              <w:divBdr>
                <w:top w:val="none" w:sz="0" w:space="0" w:color="auto"/>
                <w:left w:val="none" w:sz="0" w:space="0" w:color="auto"/>
                <w:bottom w:val="none" w:sz="0" w:space="0" w:color="auto"/>
                <w:right w:val="none" w:sz="0" w:space="0" w:color="auto"/>
              </w:divBdr>
              <w:divsChild>
                <w:div w:id="726225729">
                  <w:marLeft w:val="0"/>
                  <w:marRight w:val="0"/>
                  <w:marTop w:val="0"/>
                  <w:marBottom w:val="0"/>
                  <w:divBdr>
                    <w:top w:val="none" w:sz="0" w:space="0" w:color="auto"/>
                    <w:left w:val="none" w:sz="0" w:space="0" w:color="auto"/>
                    <w:bottom w:val="none" w:sz="0" w:space="0" w:color="auto"/>
                    <w:right w:val="none" w:sz="0" w:space="0" w:color="auto"/>
                  </w:divBdr>
                  <w:divsChild>
                    <w:div w:id="1373922355">
                      <w:marLeft w:val="0"/>
                      <w:marRight w:val="0"/>
                      <w:marTop w:val="0"/>
                      <w:marBottom w:val="0"/>
                      <w:divBdr>
                        <w:top w:val="none" w:sz="0" w:space="0" w:color="auto"/>
                        <w:left w:val="none" w:sz="0" w:space="0" w:color="auto"/>
                        <w:bottom w:val="none" w:sz="0" w:space="0" w:color="auto"/>
                        <w:right w:val="none" w:sz="0" w:space="0" w:color="auto"/>
                      </w:divBdr>
                      <w:divsChild>
                        <w:div w:id="16951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TXT/PDF/?uri=CELEX:32014R0651&amp;from=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0D56284B09D046B46D88F2B24AA64A" ma:contentTypeVersion="14" ma:contentTypeDescription="Een nieuw document maken." ma:contentTypeScope="" ma:versionID="fe98e8c221f35a196cfc3d3864f3ca24">
  <xsd:schema xmlns:xsd="http://www.w3.org/2001/XMLSchema" xmlns:xs="http://www.w3.org/2001/XMLSchema" xmlns:p="http://schemas.microsoft.com/office/2006/metadata/properties" xmlns:ns2="3ddcb2a4-cf8d-4370-96a7-ea7733aac473" xmlns:ns3="3b425e72-3b13-4f1f-a35b-bdc466a72742" xmlns:ns4="53488529-b61a-446c-bc3c-940c1e2fbf47" targetNamespace="http://schemas.microsoft.com/office/2006/metadata/properties" ma:root="true" ma:fieldsID="45cc86d6ce0f88e0bf872331cb71b18e" ns2:_="" ns3:_="" ns4:_="">
    <xsd:import namespace="3ddcb2a4-cf8d-4370-96a7-ea7733aac473"/>
    <xsd:import namespace="3b425e72-3b13-4f1f-a35b-bdc466a72742"/>
    <xsd:import namespace="53488529-b61a-446c-bc3c-940c1e2fb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cb2a4-cf8d-4370-96a7-ea7733aac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2029dec-8b0d-4d68-80c4-6be424f3e98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425e72-3b13-4f1f-a35b-bdc466a727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dcb2a4-cf8d-4370-96a7-ea7733aac473">
      <Terms xmlns="http://schemas.microsoft.com/office/infopath/2007/PartnerControls"/>
    </lcf76f155ced4ddcb4097134ff3c332f>
    <TaxCatchAll xmlns="53488529-b61a-446c-bc3c-940c1e2fbf47" xsi:nil="true"/>
  </documentManagement>
</p:properties>
</file>

<file path=customXml/itemProps1.xml><?xml version="1.0" encoding="utf-8"?>
<ds:datastoreItem xmlns:ds="http://schemas.openxmlformats.org/officeDocument/2006/customXml" ds:itemID="{90ECE9D6-7C18-40C6-A08A-3F7A57E38B09}">
  <ds:schemaRefs>
    <ds:schemaRef ds:uri="http://schemas.openxmlformats.org/officeDocument/2006/bibliography"/>
  </ds:schemaRefs>
</ds:datastoreItem>
</file>

<file path=customXml/itemProps2.xml><?xml version="1.0" encoding="utf-8"?>
<ds:datastoreItem xmlns:ds="http://schemas.openxmlformats.org/officeDocument/2006/customXml" ds:itemID="{F63A41FA-C858-4E80-8B3F-63B24ECC657B}"/>
</file>

<file path=customXml/itemProps3.xml><?xml version="1.0" encoding="utf-8"?>
<ds:datastoreItem xmlns:ds="http://schemas.openxmlformats.org/officeDocument/2006/customXml" ds:itemID="{184233EC-19F6-4681-8B27-11ED811FD162}">
  <ds:schemaRefs>
    <ds:schemaRef ds:uri="http://schemas.microsoft.com/sharepoint/v3/contenttype/forms"/>
  </ds:schemaRefs>
</ds:datastoreItem>
</file>

<file path=customXml/itemProps4.xml><?xml version="1.0" encoding="utf-8"?>
<ds:datastoreItem xmlns:ds="http://schemas.openxmlformats.org/officeDocument/2006/customXml" ds:itemID="{C6DC8A8B-93E0-496F-8CB7-6CDCBEE311D4}">
  <ds:schemaRefs>
    <ds:schemaRef ds:uri="http://schemas.microsoft.com/office/2006/metadata/properties"/>
    <ds:schemaRef ds:uri="http://schemas.microsoft.com/office/infopath/2007/PartnerControls"/>
    <ds:schemaRef ds:uri="3251086a-4173-45aa-a638-81eb6a300a7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1469</Words>
  <Characters>8082</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Gouw, Roeland</dc:creator>
  <cp:keywords/>
  <dc:description/>
  <cp:lastModifiedBy>Ingmar Voorhaar</cp:lastModifiedBy>
  <cp:revision>3</cp:revision>
  <cp:lastPrinted>2019-11-18T13:40:00Z</cp:lastPrinted>
  <dcterms:created xsi:type="dcterms:W3CDTF">2023-10-03T10:48:00Z</dcterms:created>
  <dcterms:modified xsi:type="dcterms:W3CDTF">2023-10-18T07:38:00Z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0x0101002D0D56284B09D046B46D88F2B24AA64A</vt:lpwstr>
  </property>
</Properties>
</file>