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F716" w14:textId="77777777" w:rsidR="00A42DDE" w:rsidRDefault="00A42DDE" w:rsidP="00102CAF">
      <w:pPr>
        <w:rPr>
          <w:rStyle w:val="Kop1Char"/>
          <w:b/>
          <w:bCs/>
          <w:sz w:val="28"/>
          <w:szCs w:val="28"/>
        </w:rPr>
      </w:pPr>
      <w:bookmarkStart w:id="0" w:name="_Hlk87387065"/>
      <w:r w:rsidRPr="00C76D71">
        <w:rPr>
          <w:rStyle w:val="Kop1Char"/>
          <w:b/>
          <w:bCs/>
          <w:sz w:val="28"/>
          <w:szCs w:val="28"/>
        </w:rPr>
        <w:t>Formulier staatssteunanalyse</w:t>
      </w:r>
      <w:bookmarkEnd w:id="0"/>
    </w:p>
    <w:p w14:paraId="77C6AAF5" w14:textId="77777777" w:rsidR="00A42DDE" w:rsidRDefault="00A42DDE" w:rsidP="00102CAF">
      <w:pPr>
        <w:rPr>
          <w:rStyle w:val="Kop1Char"/>
          <w:b/>
          <w:bCs/>
          <w:sz w:val="28"/>
          <w:szCs w:val="28"/>
        </w:rPr>
      </w:pPr>
    </w:p>
    <w:p w14:paraId="35D90EB2" w14:textId="33EAE97B" w:rsidR="00102CAF" w:rsidRPr="004F5704" w:rsidRDefault="00A42DDE" w:rsidP="004F5704">
      <w:pPr>
        <w:jc w:val="both"/>
        <w:rPr>
          <w:rFonts w:cs="Arial"/>
          <w:b/>
          <w:bCs/>
          <w:sz w:val="24"/>
          <w:szCs w:val="24"/>
        </w:rPr>
      </w:pPr>
      <w:r w:rsidRPr="00A42DDE">
        <w:rPr>
          <w:rStyle w:val="Kop1Char"/>
          <w:rFonts w:cs="Arial"/>
          <w:b/>
          <w:bCs/>
          <w:szCs w:val="24"/>
        </w:rPr>
        <w:t>Artikel 3</w:t>
      </w:r>
      <w:r w:rsidR="004F5704">
        <w:rPr>
          <w:rStyle w:val="Kop1Char"/>
          <w:rFonts w:cs="Arial"/>
          <w:b/>
          <w:bCs/>
          <w:szCs w:val="24"/>
        </w:rPr>
        <w:t>9</w:t>
      </w:r>
      <w:r w:rsidRPr="00A42DDE">
        <w:rPr>
          <w:rStyle w:val="Kop1Char"/>
          <w:rFonts w:cs="Arial"/>
          <w:b/>
          <w:bCs/>
          <w:szCs w:val="24"/>
        </w:rPr>
        <w:t>:</w:t>
      </w:r>
      <w:r w:rsidRPr="00A42DDE">
        <w:rPr>
          <w:rFonts w:cs="Arial"/>
          <w:sz w:val="24"/>
          <w:szCs w:val="24"/>
        </w:rPr>
        <w:t xml:space="preserve"> </w:t>
      </w:r>
      <w:r w:rsidR="004F5704">
        <w:rPr>
          <w:rFonts w:cs="Arial"/>
          <w:b/>
          <w:bCs/>
          <w:sz w:val="24"/>
          <w:szCs w:val="24"/>
        </w:rPr>
        <w:t>i</w:t>
      </w:r>
      <w:r w:rsidR="004F5704" w:rsidRPr="004F5704">
        <w:rPr>
          <w:rFonts w:cs="Arial"/>
          <w:b/>
          <w:bCs/>
          <w:sz w:val="24"/>
          <w:szCs w:val="24"/>
        </w:rPr>
        <w:t>nvesteringssteun ten behoeve van energie</w:t>
      </w:r>
      <w:r w:rsidR="004F5704">
        <w:rPr>
          <w:rFonts w:cs="Arial"/>
          <w:b/>
          <w:bCs/>
          <w:sz w:val="24"/>
          <w:szCs w:val="24"/>
        </w:rPr>
        <w:t xml:space="preserve"> </w:t>
      </w:r>
      <w:r w:rsidR="004F5704" w:rsidRPr="004F5704">
        <w:rPr>
          <w:rFonts w:cs="Arial"/>
          <w:b/>
          <w:bCs/>
          <w:sz w:val="24"/>
          <w:szCs w:val="24"/>
        </w:rPr>
        <w:t>efficiëntieprojecten in</w:t>
      </w:r>
      <w:r w:rsidR="004F5704">
        <w:rPr>
          <w:rFonts w:cs="Arial"/>
          <w:b/>
          <w:bCs/>
          <w:sz w:val="24"/>
          <w:szCs w:val="24"/>
        </w:rPr>
        <w:t xml:space="preserve"> </w:t>
      </w:r>
      <w:r w:rsidR="004F5704" w:rsidRPr="004F5704">
        <w:rPr>
          <w:rFonts w:cs="Arial"/>
          <w:b/>
          <w:bCs/>
          <w:sz w:val="24"/>
          <w:szCs w:val="24"/>
        </w:rPr>
        <w:t>gebouwen in de vorm van financiële instrumenten</w:t>
      </w:r>
      <w:r>
        <w:br/>
      </w:r>
    </w:p>
    <w:p w14:paraId="01C1ED5E" w14:textId="34574B9F" w:rsidR="00A42DDE" w:rsidRPr="00615E39" w:rsidRDefault="00A42DDE" w:rsidP="00A42DDE">
      <w:pPr>
        <w:rPr>
          <w:b/>
          <w:bCs/>
          <w:u w:val="single"/>
        </w:rPr>
      </w:pPr>
      <w:bookmarkStart w:id="1" w:name="_Hlk87386336"/>
      <w:r>
        <w:rPr>
          <w:b/>
          <w:bCs/>
          <w:u w:val="single"/>
        </w:rPr>
        <w:br/>
      </w:r>
      <w:r w:rsidRPr="00615E39">
        <w:rPr>
          <w:b/>
          <w:bCs/>
          <w:u w:val="single"/>
        </w:rPr>
        <w:t>Inleiding</w:t>
      </w:r>
    </w:p>
    <w:p w14:paraId="07BBE507" w14:textId="5C43A8F3" w:rsidR="00A42DDE" w:rsidRPr="00495FA1" w:rsidRDefault="00A42DDE" w:rsidP="00E335A0">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4E4DE1A9" w14:textId="77777777" w:rsidR="00A42DDE" w:rsidRPr="00495FA1" w:rsidRDefault="00A42DDE" w:rsidP="00E335A0">
      <w:pPr>
        <w:jc w:val="both"/>
      </w:pPr>
    </w:p>
    <w:p w14:paraId="5D4F6628" w14:textId="2C4C0123" w:rsidR="00E335A0" w:rsidRDefault="00A42DDE" w:rsidP="00243465">
      <w:pPr>
        <w:jc w:val="both"/>
      </w:pPr>
      <w:r w:rsidRPr="00495FA1">
        <w:t>Eén van de artikelen die gebruikt k</w:t>
      </w:r>
      <w:r>
        <w:t>an</w:t>
      </w:r>
      <w:r w:rsidRPr="00495FA1">
        <w:t xml:space="preserve"> worden is artikel </w:t>
      </w:r>
      <w:r>
        <w:t>3</w:t>
      </w:r>
      <w:r w:rsidR="004F5704">
        <w:t>9</w:t>
      </w:r>
      <w:r w:rsidRPr="00495FA1">
        <w:t xml:space="preserve">. Dit artikel gaat over </w:t>
      </w:r>
      <w:r w:rsidR="0070659C">
        <w:t xml:space="preserve">investeringssteun </w:t>
      </w:r>
      <w:r w:rsidR="00243465">
        <w:t>ten behoeve van energie-efficiëntieprojecten in gebouwen</w:t>
      </w:r>
      <w:r w:rsidR="00E335A0">
        <w:t>.</w:t>
      </w:r>
    </w:p>
    <w:p w14:paraId="1CD6EFFF" w14:textId="167B2367" w:rsidR="00A42DDE" w:rsidRDefault="00A42DDE" w:rsidP="00E335A0">
      <w:pPr>
        <w:jc w:val="both"/>
      </w:pP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3</w:t>
      </w:r>
      <w:r w:rsidR="004F5704">
        <w:t>9</w:t>
      </w:r>
      <w:r w:rsidRPr="00495FA1">
        <w:t xml:space="preserve">, aan te geven waarom het project voldoet aan de gestelde voorwaarden. </w:t>
      </w:r>
      <w:r>
        <w:br/>
      </w:r>
    </w:p>
    <w:p w14:paraId="7CC1CB7F" w14:textId="77777777" w:rsidR="00A42DDE" w:rsidRDefault="00A42DDE" w:rsidP="00E335A0">
      <w:pPr>
        <w:jc w:val="both"/>
      </w:pPr>
      <w:r>
        <w:t xml:space="preserve">Let op: u geeft een toelichting in de tekstblokken.  </w:t>
      </w:r>
    </w:p>
    <w:bookmarkEnd w:id="1"/>
    <w:p w14:paraId="160610DF" w14:textId="77777777" w:rsidR="00A42DDE" w:rsidRDefault="00A42DDE" w:rsidP="00E335A0">
      <w:pPr>
        <w:jc w:val="both"/>
      </w:pPr>
    </w:p>
    <w:p w14:paraId="4D1DAA4F" w14:textId="44BF61A0" w:rsidR="00102CAF" w:rsidRDefault="00102CAF" w:rsidP="00E335A0">
      <w:pPr>
        <w:jc w:val="both"/>
      </w:pPr>
    </w:p>
    <w:p w14:paraId="7D110DAA" w14:textId="3E9594F9" w:rsidR="00A42DDE" w:rsidRDefault="00A42DDE" w:rsidP="00E335A0">
      <w:pPr>
        <w:jc w:val="both"/>
      </w:pPr>
      <w:bookmarkStart w:id="3" w:name="_Hlk87387140"/>
      <w:r w:rsidRPr="00326FA1">
        <w:rPr>
          <w:b/>
          <w:bCs/>
          <w:i/>
          <w:iCs/>
          <w:u w:val="single"/>
        </w:rPr>
        <w:t xml:space="preserve">Art </w:t>
      </w:r>
      <w:r>
        <w:rPr>
          <w:b/>
          <w:bCs/>
          <w:i/>
          <w:iCs/>
          <w:u w:val="single"/>
        </w:rPr>
        <w:t>3</w:t>
      </w:r>
      <w:r w:rsidR="00243465">
        <w:rPr>
          <w:b/>
          <w:bCs/>
          <w:i/>
          <w:iCs/>
          <w:u w:val="single"/>
        </w:rPr>
        <w:t>9</w:t>
      </w:r>
      <w:r w:rsidRPr="00326FA1">
        <w:rPr>
          <w:b/>
          <w:bCs/>
          <w:i/>
          <w:iCs/>
          <w:u w:val="single"/>
        </w:rPr>
        <w:t>, lid 1:</w:t>
      </w:r>
      <w:bookmarkEnd w:id="3"/>
    </w:p>
    <w:p w14:paraId="3FF7DFCC" w14:textId="531E62DB" w:rsidR="00102CAF" w:rsidRPr="00243465" w:rsidRDefault="00243465" w:rsidP="00E335A0">
      <w:pPr>
        <w:jc w:val="both"/>
        <w:rPr>
          <w:i/>
          <w:iCs/>
        </w:rPr>
      </w:pPr>
      <w:r w:rsidRPr="00243465">
        <w:rPr>
          <w:i/>
          <w:iCs/>
        </w:rPr>
        <w:t>Investeringssteun ten behoeve van energie-efficiëntieprojecten in gebouwen is verenigbaar met de interne markt in de zin van artikel 107, lid 3, van het Verdrag en is van de aanmeldingsverplichting van artikel 108, lid 3, van het Verdrag vrijgesteld, mits de in dit artikel en in hoofdstuk I vastgestelde voorwaarden zijn vervuld.</w:t>
      </w:r>
    </w:p>
    <w:p w14:paraId="587184FD" w14:textId="77777777" w:rsidR="00243465" w:rsidRDefault="00243465" w:rsidP="00E335A0">
      <w:pPr>
        <w:jc w:val="both"/>
      </w:pPr>
      <w:bookmarkStart w:id="4" w:name="_Hlk87387169"/>
    </w:p>
    <w:p w14:paraId="4E85FFA0" w14:textId="16C74E89" w:rsidR="00122AC9" w:rsidRDefault="00122AC9" w:rsidP="00E335A0">
      <w:pPr>
        <w:jc w:val="both"/>
      </w:pPr>
      <w:r w:rsidRPr="0049647A">
        <w:rPr>
          <w:b/>
          <w:bCs/>
        </w:rPr>
        <w:t>Toelichting:</w:t>
      </w:r>
      <w:r>
        <w:t xml:space="preserve"> </w:t>
      </w:r>
      <w:r w:rsidRPr="00122AC9">
        <w:t>„energie-efficiëntie”: een hoeveelheid bespaarde energie die wordt vastgesteld door het verbruik vóór en ná de invoering van een maatregel ter verbetering van de energie-efficiëntie te meten en/of te ramen, gecorrigeerd voor externe factoren die het energieverbruik beïnvloeden;</w:t>
      </w:r>
    </w:p>
    <w:p w14:paraId="350EBE21" w14:textId="77777777" w:rsidR="00122AC9" w:rsidRDefault="00122AC9" w:rsidP="00E335A0">
      <w:pPr>
        <w:jc w:val="both"/>
      </w:pPr>
    </w:p>
    <w:p w14:paraId="7D85B265" w14:textId="5D3414B9" w:rsidR="00A42DDE" w:rsidRDefault="00A42DDE" w:rsidP="00E335A0">
      <w:pPr>
        <w:jc w:val="both"/>
      </w:pPr>
      <w:r>
        <w:t>Inleidend lid, geen toelichting nodig</w:t>
      </w:r>
      <w:r w:rsidR="00122AC9">
        <w:t>.</w:t>
      </w:r>
    </w:p>
    <w:bookmarkEnd w:id="4"/>
    <w:p w14:paraId="3ED3A943" w14:textId="59113BEA" w:rsidR="00A42DDE" w:rsidRDefault="00A42DDE" w:rsidP="00E335A0">
      <w:pPr>
        <w:jc w:val="both"/>
      </w:pPr>
    </w:p>
    <w:p w14:paraId="14C33F84" w14:textId="77777777" w:rsidR="00A42DDE" w:rsidRDefault="00A42DDE" w:rsidP="00E335A0">
      <w:pPr>
        <w:jc w:val="both"/>
        <w:rPr>
          <w:b/>
          <w:bCs/>
          <w:i/>
          <w:iCs/>
          <w:u w:val="single"/>
        </w:rPr>
      </w:pPr>
    </w:p>
    <w:p w14:paraId="7646D881" w14:textId="02E31087" w:rsidR="00A42DDE" w:rsidRDefault="00A42DDE" w:rsidP="00E335A0">
      <w:pPr>
        <w:jc w:val="both"/>
      </w:pPr>
      <w:r w:rsidRPr="00326FA1">
        <w:rPr>
          <w:b/>
          <w:bCs/>
          <w:i/>
          <w:iCs/>
          <w:u w:val="single"/>
        </w:rPr>
        <w:t xml:space="preserve">Art </w:t>
      </w:r>
      <w:r>
        <w:rPr>
          <w:b/>
          <w:bCs/>
          <w:i/>
          <w:iCs/>
          <w:u w:val="single"/>
        </w:rPr>
        <w:t>3</w:t>
      </w:r>
      <w:r w:rsidR="00243465">
        <w:rPr>
          <w:b/>
          <w:bCs/>
          <w:i/>
          <w:iCs/>
          <w:u w:val="single"/>
        </w:rPr>
        <w:t>9</w:t>
      </w:r>
      <w:r w:rsidRPr="00326FA1">
        <w:rPr>
          <w:b/>
          <w:bCs/>
          <w:i/>
          <w:iCs/>
          <w:u w:val="single"/>
        </w:rPr>
        <w:t xml:space="preserve">, lid </w:t>
      </w:r>
      <w:r>
        <w:rPr>
          <w:b/>
          <w:bCs/>
          <w:i/>
          <w:iCs/>
          <w:u w:val="single"/>
        </w:rPr>
        <w:t>2</w:t>
      </w:r>
      <w:r w:rsidRPr="00326FA1">
        <w:rPr>
          <w:b/>
          <w:bCs/>
          <w:i/>
          <w:iCs/>
          <w:u w:val="single"/>
        </w:rPr>
        <w:t>:</w:t>
      </w:r>
    </w:p>
    <w:p w14:paraId="03E8C93A" w14:textId="27E6789D" w:rsidR="00243465" w:rsidRDefault="00616259" w:rsidP="00E335A0">
      <w:pPr>
        <w:jc w:val="both"/>
      </w:pPr>
      <w:r w:rsidRPr="00616259">
        <w:rPr>
          <w:i/>
          <w:iCs/>
        </w:rPr>
        <w:t>Voor steun op grond van dit artikel komen investeringen ter verbetering van de energie-efficiëntie van gebouwen in aanmerking.</w:t>
      </w:r>
    </w:p>
    <w:p w14:paraId="6E6F004A" w14:textId="77777777" w:rsidR="00243465" w:rsidRDefault="00243465" w:rsidP="00E335A0">
      <w:pPr>
        <w:jc w:val="both"/>
      </w:pPr>
    </w:p>
    <w:p w14:paraId="1E5EC9AB" w14:textId="32B2D72D" w:rsidR="00243465" w:rsidRDefault="00243465" w:rsidP="00E335A0">
      <w:pPr>
        <w:jc w:val="both"/>
        <w:rPr>
          <w:b/>
          <w:bCs/>
          <w:i/>
          <w:iCs/>
          <w:u w:val="single"/>
        </w:rPr>
      </w:pPr>
      <w:r>
        <w:rPr>
          <w:b/>
          <w:bCs/>
          <w:i/>
          <w:iCs/>
          <w:u w:val="single"/>
        </w:rPr>
        <w:t>Art. 39, lid 2 bis</w:t>
      </w:r>
    </w:p>
    <w:p w14:paraId="2474AD3E" w14:textId="77777777" w:rsidR="00616259" w:rsidRPr="00616259" w:rsidRDefault="00616259" w:rsidP="00616259">
      <w:pPr>
        <w:jc w:val="both"/>
        <w:rPr>
          <w:i/>
          <w:iCs/>
        </w:rPr>
      </w:pPr>
      <w:r w:rsidRPr="00616259">
        <w:rPr>
          <w:i/>
          <w:iCs/>
        </w:rPr>
        <w:t>De steun ten behoeve van de verbetering van de energie-efficiëntie van het gebouw kan worden gecombineerd met steun voor een of meer van de volgende maatregelen:</w:t>
      </w:r>
    </w:p>
    <w:p w14:paraId="0B0A14AF" w14:textId="77777777" w:rsidR="00616259" w:rsidRDefault="00616259" w:rsidP="00616259">
      <w:pPr>
        <w:jc w:val="both"/>
        <w:rPr>
          <w:i/>
          <w:iCs/>
        </w:rPr>
      </w:pPr>
    </w:p>
    <w:p w14:paraId="0D439EF7" w14:textId="3211B05E" w:rsidR="00616259" w:rsidRPr="00616259" w:rsidRDefault="00616259" w:rsidP="00616259">
      <w:pPr>
        <w:jc w:val="both"/>
        <w:rPr>
          <w:i/>
          <w:iCs/>
        </w:rPr>
      </w:pPr>
      <w:r w:rsidRPr="00616259">
        <w:rPr>
          <w:i/>
          <w:iCs/>
        </w:rPr>
        <w:t>a)</w:t>
      </w:r>
      <w:r>
        <w:rPr>
          <w:i/>
          <w:iCs/>
        </w:rPr>
        <w:t xml:space="preserve"> </w:t>
      </w:r>
      <w:r w:rsidRPr="00616259">
        <w:rPr>
          <w:i/>
          <w:iCs/>
        </w:rPr>
        <w:t>de installatie van geïntegreerde on-site installaties voor hernieuwbare energie waarmee elektriciteit, warmte of koude wordt geproduceerd, met inbegrip van maar niet beperkt tot fotovoltaïsche panelen en warmtepompen;</w:t>
      </w:r>
    </w:p>
    <w:p w14:paraId="49A02E1A" w14:textId="77777777" w:rsidR="00616259" w:rsidRDefault="00616259" w:rsidP="00616259">
      <w:pPr>
        <w:jc w:val="both"/>
        <w:rPr>
          <w:i/>
          <w:iCs/>
        </w:rPr>
      </w:pPr>
    </w:p>
    <w:p w14:paraId="1880A419" w14:textId="72C29A0D" w:rsidR="00616259" w:rsidRPr="00616259" w:rsidRDefault="00616259" w:rsidP="00616259">
      <w:pPr>
        <w:jc w:val="both"/>
        <w:rPr>
          <w:i/>
          <w:iCs/>
        </w:rPr>
      </w:pPr>
      <w:r w:rsidRPr="00616259">
        <w:rPr>
          <w:i/>
          <w:iCs/>
        </w:rPr>
        <w:t>b)</w:t>
      </w:r>
      <w:r>
        <w:rPr>
          <w:i/>
          <w:iCs/>
        </w:rPr>
        <w:t xml:space="preserve"> </w:t>
      </w:r>
      <w:r w:rsidRPr="00616259">
        <w:rPr>
          <w:i/>
          <w:iCs/>
        </w:rPr>
        <w:t xml:space="preserve">de installatie van uitrusting voor de opslag van de energie die in on-site installaties voor hernieuwbare energie wordt geproduceerd. De uitrusting voor opslag haalt op jaarbasis ten </w:t>
      </w:r>
      <w:r w:rsidRPr="00616259">
        <w:rPr>
          <w:i/>
          <w:iCs/>
        </w:rPr>
        <w:lastRenderedPageBreak/>
        <w:t>minste 75 % van zijn energie uit rechtstreeks aangesloten installaties voor de opwekking van hernieuwbare energie;</w:t>
      </w:r>
    </w:p>
    <w:p w14:paraId="5FC946DD" w14:textId="77777777" w:rsidR="00616259" w:rsidRDefault="00616259" w:rsidP="00616259">
      <w:pPr>
        <w:jc w:val="both"/>
        <w:rPr>
          <w:i/>
          <w:iCs/>
        </w:rPr>
      </w:pPr>
    </w:p>
    <w:p w14:paraId="729273D3" w14:textId="516A294B" w:rsidR="00616259" w:rsidRPr="00616259" w:rsidRDefault="00616259" w:rsidP="00616259">
      <w:pPr>
        <w:jc w:val="both"/>
        <w:rPr>
          <w:i/>
          <w:iCs/>
        </w:rPr>
      </w:pPr>
      <w:r w:rsidRPr="00616259">
        <w:rPr>
          <w:i/>
          <w:iCs/>
        </w:rPr>
        <w:t>c)</w:t>
      </w:r>
      <w:r>
        <w:rPr>
          <w:i/>
          <w:iCs/>
        </w:rPr>
        <w:t xml:space="preserve"> </w:t>
      </w:r>
      <w:r w:rsidRPr="00616259">
        <w:rPr>
          <w:i/>
          <w:iCs/>
        </w:rPr>
        <w:t>investeringen in de aansluiting op een energie-efficiënt systeem voor stadsverwarming en/of -koeling en bijbehorende uitrusting;</w:t>
      </w:r>
    </w:p>
    <w:p w14:paraId="6B7B6AAA" w14:textId="77777777" w:rsidR="00616259" w:rsidRDefault="00616259" w:rsidP="00616259">
      <w:pPr>
        <w:jc w:val="both"/>
        <w:rPr>
          <w:i/>
          <w:iCs/>
        </w:rPr>
      </w:pPr>
    </w:p>
    <w:p w14:paraId="7B8F0ABB" w14:textId="0C8E76A6" w:rsidR="00616259" w:rsidRPr="00616259" w:rsidRDefault="00616259" w:rsidP="00616259">
      <w:pPr>
        <w:jc w:val="both"/>
        <w:rPr>
          <w:i/>
          <w:iCs/>
        </w:rPr>
      </w:pPr>
      <w:r w:rsidRPr="00616259">
        <w:rPr>
          <w:i/>
          <w:iCs/>
        </w:rPr>
        <w:t>d)</w:t>
      </w:r>
      <w:r>
        <w:rPr>
          <w:i/>
          <w:iCs/>
        </w:rPr>
        <w:t xml:space="preserve"> </w:t>
      </w:r>
      <w:r w:rsidRPr="00616259">
        <w:rPr>
          <w:i/>
          <w:iCs/>
        </w:rPr>
        <w:t>de aanleg en installatie van oplaadinfrastructuur voor gebruik door de gebruikers van het gebouw, en daarbij behorende infrastructuur, zoals leidingen, indien de parkeerplaatsen ofwel inpandig zijn of fysiek aan het gebouw grenzen;</w:t>
      </w:r>
    </w:p>
    <w:p w14:paraId="060BAC7C" w14:textId="77777777" w:rsidR="00616259" w:rsidRDefault="00616259" w:rsidP="00616259">
      <w:pPr>
        <w:jc w:val="both"/>
        <w:rPr>
          <w:i/>
          <w:iCs/>
        </w:rPr>
      </w:pPr>
    </w:p>
    <w:p w14:paraId="3214A109" w14:textId="7D04F54A" w:rsidR="00616259" w:rsidRDefault="00616259" w:rsidP="00616259">
      <w:pPr>
        <w:jc w:val="both"/>
        <w:rPr>
          <w:i/>
          <w:iCs/>
        </w:rPr>
      </w:pPr>
      <w:r w:rsidRPr="00616259">
        <w:rPr>
          <w:i/>
          <w:iCs/>
        </w:rPr>
        <w:t>e)</w:t>
      </w:r>
      <w:r>
        <w:rPr>
          <w:i/>
          <w:iCs/>
        </w:rPr>
        <w:t xml:space="preserve"> </w:t>
      </w:r>
      <w:r w:rsidRPr="00616259">
        <w:rPr>
          <w:i/>
          <w:iCs/>
        </w:rPr>
        <w:t>de installatie van uitrusting voor digitalisering van het gebouw, met name om de gereedheid voor slimme toepassingen te vergroten. Bij in aanmerking komende investeringen kan het onder meer gaan om maatregelen die beperkt zijn tot passieve binnenhuisbekabeling of gestructureerde bekabeling voor datanetwerken en de randuitrusting van de breedbandinfrastructuur op het eigendom waartoe het gebouw behoort, doch met uitsluiting van bedrading of bekabeling voor datanetwerken buiten het eigendom;</w:t>
      </w:r>
    </w:p>
    <w:p w14:paraId="58B4BE7A" w14:textId="77777777" w:rsidR="00616259" w:rsidRDefault="00616259" w:rsidP="00616259">
      <w:pPr>
        <w:jc w:val="both"/>
        <w:rPr>
          <w:i/>
          <w:iCs/>
        </w:rPr>
      </w:pPr>
    </w:p>
    <w:p w14:paraId="1D4151C9" w14:textId="7FE1275F" w:rsidR="00616259" w:rsidRDefault="00616259" w:rsidP="00616259">
      <w:pPr>
        <w:jc w:val="both"/>
        <w:rPr>
          <w:i/>
          <w:iCs/>
        </w:rPr>
      </w:pPr>
      <w:r w:rsidRPr="00616259">
        <w:rPr>
          <w:i/>
          <w:iCs/>
        </w:rPr>
        <w:t>f)</w:t>
      </w:r>
      <w:r>
        <w:rPr>
          <w:i/>
          <w:iCs/>
        </w:rPr>
        <w:t xml:space="preserve"> </w:t>
      </w:r>
      <w:r w:rsidRPr="00616259">
        <w:rPr>
          <w:i/>
          <w:iCs/>
        </w:rPr>
        <w:t>investeringen in groendaken en uitrusting voor het opvangen en gebruiken van regenwater.</w:t>
      </w:r>
    </w:p>
    <w:p w14:paraId="302E9939" w14:textId="77777777" w:rsidR="00616259" w:rsidRDefault="00616259" w:rsidP="00616259">
      <w:pPr>
        <w:jc w:val="both"/>
        <w:rPr>
          <w:i/>
          <w:iCs/>
        </w:rPr>
      </w:pPr>
    </w:p>
    <w:p w14:paraId="2F1CBDFC" w14:textId="5989699C" w:rsidR="00C72E38" w:rsidRPr="00FD5610" w:rsidRDefault="00A42DDE" w:rsidP="00E335A0">
      <w:pPr>
        <w:jc w:val="both"/>
      </w:pPr>
      <w:r>
        <w:rPr>
          <w:noProof/>
          <w:lang w:eastAsia="nl-NL"/>
        </w:rPr>
        <mc:AlternateContent>
          <mc:Choice Requires="wps">
            <w:drawing>
              <wp:anchor distT="45720" distB="45720" distL="114300" distR="114300" simplePos="0" relativeHeight="251659264" behindDoc="0" locked="0" layoutInCell="1" allowOverlap="1" wp14:anchorId="09649AFF" wp14:editId="739AE780">
                <wp:simplePos x="0" y="0"/>
                <wp:positionH relativeFrom="margin">
                  <wp:posOffset>0</wp:posOffset>
                </wp:positionH>
                <wp:positionV relativeFrom="paragraph">
                  <wp:posOffset>220345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FE1C9A8" w14:textId="5D4B7420" w:rsidR="00A42DDE" w:rsidRPr="002A62AB" w:rsidRDefault="00A42DDE" w:rsidP="00A42DDE">
                            <w:pPr>
                              <w:rPr>
                                <w:b/>
                                <w:bCs/>
                              </w:rPr>
                            </w:pPr>
                            <w:r w:rsidRPr="002A62AB">
                              <w:rPr>
                                <w:b/>
                                <w:bCs/>
                              </w:rPr>
                              <w:t xml:space="preserve">Geef hier aan waarom de activiteiten in uw projectplan </w:t>
                            </w:r>
                            <w:r w:rsidR="00486687">
                              <w:rPr>
                                <w:b/>
                                <w:bCs/>
                              </w:rPr>
                              <w:t xml:space="preserve">voldoen </w:t>
                            </w:r>
                            <w:r w:rsidRPr="002A62AB">
                              <w:rPr>
                                <w:b/>
                                <w:bCs/>
                              </w:rPr>
                              <w:t xml:space="preserve">aan artikel </w:t>
                            </w:r>
                            <w:r>
                              <w:rPr>
                                <w:b/>
                                <w:bCs/>
                              </w:rPr>
                              <w:t>3</w:t>
                            </w:r>
                            <w:r w:rsidR="00243465">
                              <w:rPr>
                                <w:b/>
                                <w:bCs/>
                              </w:rPr>
                              <w:t>9</w:t>
                            </w:r>
                            <w:r w:rsidRPr="002A62AB">
                              <w:rPr>
                                <w:b/>
                                <w:bCs/>
                              </w:rPr>
                              <w:t>, lid 2</w:t>
                            </w:r>
                            <w:r w:rsidR="00243465">
                              <w:rPr>
                                <w:b/>
                                <w:bCs/>
                              </w:rPr>
                              <w:t xml:space="preserve"> en lid 2 bis</w:t>
                            </w:r>
                            <w:r w:rsidRPr="002A62AB">
                              <w:rPr>
                                <w:b/>
                                <w:bCs/>
                              </w:rPr>
                              <w:t>:</w:t>
                            </w:r>
                          </w:p>
                          <w:p w14:paraId="14023B28" w14:textId="77777777" w:rsidR="00A42DDE" w:rsidRDefault="00A42DDE" w:rsidP="00A42DDE"/>
                          <w:p w14:paraId="34A42128" w14:textId="77777777" w:rsidR="00A42DDE" w:rsidRDefault="00A42DDE" w:rsidP="00A42DDE"/>
                          <w:p w14:paraId="1798DB24" w14:textId="77777777" w:rsidR="00A42DDE" w:rsidRDefault="00A42DDE" w:rsidP="00A42DDE"/>
                          <w:p w14:paraId="5E1BC539" w14:textId="77777777" w:rsidR="00A42DDE" w:rsidRDefault="00A42DDE" w:rsidP="00A42DDE"/>
                          <w:p w14:paraId="6A6A110B" w14:textId="77777777" w:rsidR="00A42DDE" w:rsidRDefault="00A42DDE" w:rsidP="00A42DDE"/>
                          <w:p w14:paraId="021CBE13" w14:textId="77777777" w:rsidR="00A42DDE" w:rsidRDefault="00A42DDE" w:rsidP="00A42DDE"/>
                          <w:p w14:paraId="23B481AC" w14:textId="77777777" w:rsidR="00A42DDE" w:rsidRDefault="00A42DDE" w:rsidP="00A42DDE"/>
                          <w:p w14:paraId="5EDF61C0" w14:textId="77777777" w:rsidR="00A42DDE" w:rsidRDefault="00A42DDE" w:rsidP="00A42DDE"/>
                          <w:p w14:paraId="3AB5F16B" w14:textId="77777777" w:rsidR="00A42DDE" w:rsidRDefault="00A42DDE" w:rsidP="00A42DD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49AFF" id="_x0000_t202" coordsize="21600,21600" o:spt="202" path="m,l,21600r21600,l21600,xe">
                <v:stroke joinstyle="miter"/>
                <v:path gradientshapeok="t" o:connecttype="rect"/>
              </v:shapetype>
              <v:shape id="Tekstvak 2" o:spid="_x0000_s1026" type="#_x0000_t202" style="position:absolute;left:0;text-align:left;margin-left:0;margin-top:17.3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">
                <v:textbox style="mso-fit-shape-to-text:t">
                  <w:txbxContent>
                    <w:p w14:paraId="7FE1C9A8" w14:textId="5D4B7420" w:rsidR="00A42DDE" w:rsidRPr="002A62AB" w:rsidRDefault="00A42DDE" w:rsidP="00A42DDE">
                      <w:pPr>
                        <w:rPr>
                          <w:b/>
                          <w:bCs/>
                        </w:rPr>
                      </w:pPr>
                      <w:r w:rsidRPr="002A62AB">
                        <w:rPr>
                          <w:b/>
                          <w:bCs/>
                        </w:rPr>
                        <w:t xml:space="preserve">Geef hier aan waarom de activiteiten in uw projectplan </w:t>
                      </w:r>
                      <w:r w:rsidR="00486687">
                        <w:rPr>
                          <w:b/>
                          <w:bCs/>
                        </w:rPr>
                        <w:t xml:space="preserve">voldoen </w:t>
                      </w:r>
                      <w:r w:rsidRPr="002A62AB">
                        <w:rPr>
                          <w:b/>
                          <w:bCs/>
                        </w:rPr>
                        <w:t xml:space="preserve">aan artikel </w:t>
                      </w:r>
                      <w:r>
                        <w:rPr>
                          <w:b/>
                          <w:bCs/>
                        </w:rPr>
                        <w:t>3</w:t>
                      </w:r>
                      <w:r w:rsidR="00243465">
                        <w:rPr>
                          <w:b/>
                          <w:bCs/>
                        </w:rPr>
                        <w:t>9</w:t>
                      </w:r>
                      <w:r w:rsidRPr="002A62AB">
                        <w:rPr>
                          <w:b/>
                          <w:bCs/>
                        </w:rPr>
                        <w:t>, lid 2</w:t>
                      </w:r>
                      <w:r w:rsidR="00243465">
                        <w:rPr>
                          <w:b/>
                          <w:bCs/>
                        </w:rPr>
                        <w:t xml:space="preserve"> en lid 2 bis</w:t>
                      </w:r>
                      <w:r w:rsidRPr="002A62AB">
                        <w:rPr>
                          <w:b/>
                          <w:bCs/>
                        </w:rPr>
                        <w:t>:</w:t>
                      </w:r>
                    </w:p>
                    <w:p w14:paraId="14023B28" w14:textId="77777777" w:rsidR="00A42DDE" w:rsidRDefault="00A42DDE" w:rsidP="00A42DDE"/>
                    <w:p w14:paraId="34A42128" w14:textId="77777777" w:rsidR="00A42DDE" w:rsidRDefault="00A42DDE" w:rsidP="00A42DDE"/>
                    <w:p w14:paraId="1798DB24" w14:textId="77777777" w:rsidR="00A42DDE" w:rsidRDefault="00A42DDE" w:rsidP="00A42DDE"/>
                    <w:p w14:paraId="5E1BC539" w14:textId="77777777" w:rsidR="00A42DDE" w:rsidRDefault="00A42DDE" w:rsidP="00A42DDE"/>
                    <w:p w14:paraId="6A6A110B" w14:textId="77777777" w:rsidR="00A42DDE" w:rsidRDefault="00A42DDE" w:rsidP="00A42DDE"/>
                    <w:p w14:paraId="021CBE13" w14:textId="77777777" w:rsidR="00A42DDE" w:rsidRDefault="00A42DDE" w:rsidP="00A42DDE"/>
                    <w:p w14:paraId="23B481AC" w14:textId="77777777" w:rsidR="00A42DDE" w:rsidRDefault="00A42DDE" w:rsidP="00A42DDE"/>
                    <w:p w14:paraId="5EDF61C0" w14:textId="77777777" w:rsidR="00A42DDE" w:rsidRDefault="00A42DDE" w:rsidP="00A42DDE"/>
                    <w:p w14:paraId="3AB5F16B" w14:textId="77777777" w:rsidR="00A42DDE" w:rsidRDefault="00A42DDE" w:rsidP="00A42DDE">
                      <w:r>
                        <w:t xml:space="preserve">  </w:t>
                      </w:r>
                    </w:p>
                  </w:txbxContent>
                </v:textbox>
                <w10:wrap type="topAndBottom" anchorx="margin"/>
              </v:shape>
            </w:pict>
          </mc:Fallback>
        </mc:AlternateContent>
      </w:r>
      <w:r w:rsidR="00FD5610">
        <w:tab/>
      </w:r>
    </w:p>
    <w:p w14:paraId="7C4FF6C8" w14:textId="22BB488D" w:rsidR="003C0901" w:rsidRDefault="003C0901" w:rsidP="00E335A0">
      <w:pPr>
        <w:jc w:val="both"/>
        <w:rPr>
          <w:i/>
          <w:iCs/>
        </w:rPr>
      </w:pPr>
    </w:p>
    <w:p w14:paraId="5633366C" w14:textId="3D69F229" w:rsidR="002C2F73" w:rsidRDefault="002C2F73" w:rsidP="00E335A0">
      <w:pPr>
        <w:jc w:val="both"/>
      </w:pPr>
      <w:r w:rsidRPr="00326FA1">
        <w:rPr>
          <w:b/>
          <w:bCs/>
          <w:i/>
          <w:iCs/>
          <w:u w:val="single"/>
        </w:rPr>
        <w:t xml:space="preserve">Art </w:t>
      </w:r>
      <w:r>
        <w:rPr>
          <w:b/>
          <w:bCs/>
          <w:i/>
          <w:iCs/>
          <w:u w:val="single"/>
        </w:rPr>
        <w:t>3</w:t>
      </w:r>
      <w:r w:rsidR="00243465">
        <w:rPr>
          <w:b/>
          <w:bCs/>
          <w:i/>
          <w:iCs/>
          <w:u w:val="single"/>
        </w:rPr>
        <w:t>9</w:t>
      </w:r>
      <w:r w:rsidRPr="00326FA1">
        <w:rPr>
          <w:b/>
          <w:bCs/>
          <w:i/>
          <w:iCs/>
          <w:u w:val="single"/>
        </w:rPr>
        <w:t xml:space="preserve">, lid </w:t>
      </w:r>
      <w:r>
        <w:rPr>
          <w:b/>
          <w:bCs/>
          <w:i/>
          <w:iCs/>
          <w:u w:val="single"/>
        </w:rPr>
        <w:t>3</w:t>
      </w:r>
      <w:r w:rsidRPr="00326FA1">
        <w:rPr>
          <w:b/>
          <w:bCs/>
          <w:i/>
          <w:iCs/>
          <w:u w:val="single"/>
        </w:rPr>
        <w:t>:</w:t>
      </w:r>
    </w:p>
    <w:p w14:paraId="2ADBA53E" w14:textId="05358654" w:rsidR="00877340" w:rsidRDefault="00616259" w:rsidP="00E335A0">
      <w:pPr>
        <w:jc w:val="both"/>
      </w:pPr>
      <w:r w:rsidRPr="00616259">
        <w:rPr>
          <w:i/>
          <w:iCs/>
        </w:rPr>
        <w:t>De in aanmerking komende kosten zijn de totale kosten van het energie-efficiëntieproject, behalve voor de in lid 2 bis bedoelde gebouwen, waarvoor de in aanmerking komende kosten de totale kosten van het energie- efficiëntieproject zijn, alsmede de investeringskosten van de verschillende onderdelen van de in lid 2 bis vermelde uitrusting.</w:t>
      </w:r>
    </w:p>
    <w:p w14:paraId="4CDF6B34" w14:textId="716EEFF9" w:rsidR="00243465" w:rsidRDefault="0049647A" w:rsidP="00E335A0">
      <w:pPr>
        <w:jc w:val="both"/>
      </w:pPr>
      <w:r>
        <w:rPr>
          <w:noProof/>
          <w:lang w:eastAsia="nl-NL"/>
        </w:rPr>
        <w:lastRenderedPageBreak/>
        <mc:AlternateContent>
          <mc:Choice Requires="wps">
            <w:drawing>
              <wp:anchor distT="45720" distB="45720" distL="114300" distR="114300" simplePos="0" relativeHeight="251665408" behindDoc="0" locked="0" layoutInCell="1" allowOverlap="1" wp14:anchorId="428B59D0" wp14:editId="47F90AC8">
                <wp:simplePos x="0" y="0"/>
                <wp:positionH relativeFrom="margin">
                  <wp:align>left</wp:align>
                </wp:positionH>
                <wp:positionV relativeFrom="paragraph">
                  <wp:posOffset>252730</wp:posOffset>
                </wp:positionV>
                <wp:extent cx="5404485" cy="633730"/>
                <wp:effectExtent l="0" t="0" r="24765" b="266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475EF78A" w14:textId="67B5B4EF" w:rsidR="00877340" w:rsidRPr="002A62AB" w:rsidRDefault="00877340" w:rsidP="00877340">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39</w:t>
                            </w:r>
                            <w:r w:rsidRPr="002A62AB">
                              <w:rPr>
                                <w:b/>
                                <w:bCs/>
                              </w:rPr>
                              <w:t xml:space="preserve">, lid </w:t>
                            </w:r>
                            <w:r>
                              <w:rPr>
                                <w:b/>
                                <w:bCs/>
                              </w:rPr>
                              <w:t>3</w:t>
                            </w:r>
                            <w:r w:rsidRPr="002A62AB">
                              <w:rPr>
                                <w:b/>
                                <w:bCs/>
                              </w:rPr>
                              <w:t>:</w:t>
                            </w:r>
                          </w:p>
                          <w:p w14:paraId="214B55EE" w14:textId="77777777" w:rsidR="00877340" w:rsidRDefault="00877340" w:rsidP="00877340"/>
                          <w:p w14:paraId="622C5B68" w14:textId="77777777" w:rsidR="00877340" w:rsidRDefault="00877340" w:rsidP="00877340"/>
                          <w:p w14:paraId="5ABB9DB7" w14:textId="77777777" w:rsidR="00877340" w:rsidRDefault="00877340" w:rsidP="00877340"/>
                          <w:p w14:paraId="6A9E55C3" w14:textId="77777777" w:rsidR="00877340" w:rsidRDefault="00877340" w:rsidP="00877340"/>
                          <w:p w14:paraId="574D0356" w14:textId="77777777" w:rsidR="00877340" w:rsidRDefault="00877340" w:rsidP="00877340"/>
                          <w:p w14:paraId="4085F0DB" w14:textId="77777777" w:rsidR="00877340" w:rsidRDefault="00877340" w:rsidP="00877340"/>
                          <w:p w14:paraId="6D75C9A3" w14:textId="77777777" w:rsidR="00877340" w:rsidRDefault="00877340" w:rsidP="00877340"/>
                          <w:p w14:paraId="5AC56860" w14:textId="77777777" w:rsidR="00877340" w:rsidRDefault="00877340" w:rsidP="00877340"/>
                          <w:p w14:paraId="624215F2" w14:textId="77777777" w:rsidR="00877340" w:rsidRDefault="00877340" w:rsidP="0087734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8B59D0" id="Tekstvak 3" o:spid="_x0000_s1027" type="#_x0000_t202" style="position:absolute;left:0;text-align:left;margin-left:0;margin-top:19.9pt;width:425.55pt;height:49.9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">
                <v:textbox style="mso-fit-shape-to-text:t">
                  <w:txbxContent>
                    <w:p w14:paraId="475EF78A" w14:textId="67B5B4EF" w:rsidR="00877340" w:rsidRPr="002A62AB" w:rsidRDefault="00877340" w:rsidP="00877340">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39</w:t>
                      </w:r>
                      <w:r w:rsidRPr="002A62AB">
                        <w:rPr>
                          <w:b/>
                          <w:bCs/>
                        </w:rPr>
                        <w:t xml:space="preserve">, lid </w:t>
                      </w:r>
                      <w:r>
                        <w:rPr>
                          <w:b/>
                          <w:bCs/>
                        </w:rPr>
                        <w:t>3</w:t>
                      </w:r>
                      <w:r w:rsidRPr="002A62AB">
                        <w:rPr>
                          <w:b/>
                          <w:bCs/>
                        </w:rPr>
                        <w:t>:</w:t>
                      </w:r>
                    </w:p>
                    <w:p w14:paraId="214B55EE" w14:textId="77777777" w:rsidR="00877340" w:rsidRDefault="00877340" w:rsidP="00877340"/>
                    <w:p w14:paraId="622C5B68" w14:textId="77777777" w:rsidR="00877340" w:rsidRDefault="00877340" w:rsidP="00877340"/>
                    <w:p w14:paraId="5ABB9DB7" w14:textId="77777777" w:rsidR="00877340" w:rsidRDefault="00877340" w:rsidP="00877340"/>
                    <w:p w14:paraId="6A9E55C3" w14:textId="77777777" w:rsidR="00877340" w:rsidRDefault="00877340" w:rsidP="00877340"/>
                    <w:p w14:paraId="574D0356" w14:textId="77777777" w:rsidR="00877340" w:rsidRDefault="00877340" w:rsidP="00877340"/>
                    <w:p w14:paraId="4085F0DB" w14:textId="77777777" w:rsidR="00877340" w:rsidRDefault="00877340" w:rsidP="00877340"/>
                    <w:p w14:paraId="6D75C9A3" w14:textId="77777777" w:rsidR="00877340" w:rsidRDefault="00877340" w:rsidP="00877340"/>
                    <w:p w14:paraId="5AC56860" w14:textId="77777777" w:rsidR="00877340" w:rsidRDefault="00877340" w:rsidP="00877340"/>
                    <w:p w14:paraId="624215F2" w14:textId="77777777" w:rsidR="00877340" w:rsidRDefault="00877340" w:rsidP="00877340">
                      <w:r>
                        <w:t xml:space="preserve">  </w:t>
                      </w:r>
                    </w:p>
                  </w:txbxContent>
                </v:textbox>
                <w10:wrap type="topAndBottom" anchorx="margin"/>
              </v:shape>
            </w:pict>
          </mc:Fallback>
        </mc:AlternateContent>
      </w:r>
    </w:p>
    <w:p w14:paraId="17D19C93" w14:textId="769CE597" w:rsidR="00877340" w:rsidRDefault="00877340" w:rsidP="00E335A0">
      <w:pPr>
        <w:jc w:val="both"/>
      </w:pPr>
    </w:p>
    <w:p w14:paraId="4774D0C4" w14:textId="2F702DB2" w:rsidR="00243465" w:rsidRDefault="00243465" w:rsidP="00E335A0">
      <w:pPr>
        <w:jc w:val="both"/>
      </w:pPr>
      <w:r w:rsidRPr="00326FA1">
        <w:rPr>
          <w:b/>
          <w:bCs/>
          <w:i/>
          <w:iCs/>
          <w:u w:val="single"/>
        </w:rPr>
        <w:t xml:space="preserve">Art </w:t>
      </w:r>
      <w:r>
        <w:rPr>
          <w:b/>
          <w:bCs/>
          <w:i/>
          <w:iCs/>
          <w:u w:val="single"/>
        </w:rPr>
        <w:t>39</w:t>
      </w:r>
      <w:r w:rsidRPr="00326FA1">
        <w:rPr>
          <w:b/>
          <w:bCs/>
          <w:i/>
          <w:iCs/>
          <w:u w:val="single"/>
        </w:rPr>
        <w:t xml:space="preserve">, lid </w:t>
      </w:r>
      <w:r>
        <w:rPr>
          <w:b/>
          <w:bCs/>
          <w:i/>
          <w:iCs/>
          <w:u w:val="single"/>
        </w:rPr>
        <w:t>4</w:t>
      </w:r>
      <w:r w:rsidRPr="00326FA1">
        <w:rPr>
          <w:b/>
          <w:bCs/>
          <w:i/>
          <w:iCs/>
          <w:u w:val="single"/>
        </w:rPr>
        <w:t>:</w:t>
      </w:r>
    </w:p>
    <w:p w14:paraId="548B5D35" w14:textId="151A1E87" w:rsidR="00243465" w:rsidRPr="00243465" w:rsidRDefault="00243465" w:rsidP="00E335A0">
      <w:pPr>
        <w:jc w:val="both"/>
        <w:rPr>
          <w:i/>
          <w:iCs/>
        </w:rPr>
      </w:pPr>
      <w:r w:rsidRPr="00243465">
        <w:rPr>
          <w:i/>
          <w:iCs/>
        </w:rPr>
        <w:t xml:space="preserve">De steun wordt toegekend in de vorm van een dotatie, eigen vermogen, een garantie of een lening aan een energie-efficiëntiefonds of een andere financiële intermediair, die deze zo veel mogelijk doorgeeft aan de eindbegunstigden, namelijk de eigenaren of huurders van het gebouw, in de vorm van hogere financieringsvolumes, lagere zekerheidsvereisten, lagere garantiepremies of lagere rentetarieven. </w:t>
      </w:r>
    </w:p>
    <w:p w14:paraId="2EDB19A5" w14:textId="77777777" w:rsidR="00243465" w:rsidRDefault="00243465" w:rsidP="00E335A0">
      <w:pPr>
        <w:jc w:val="both"/>
      </w:pPr>
    </w:p>
    <w:p w14:paraId="25226655" w14:textId="77777777" w:rsidR="00243465" w:rsidRDefault="00243465" w:rsidP="00E335A0">
      <w:pPr>
        <w:jc w:val="both"/>
      </w:pPr>
    </w:p>
    <w:p w14:paraId="33BC82B4" w14:textId="26F5EEFC" w:rsidR="00243465" w:rsidRDefault="00243465" w:rsidP="00243465">
      <w:pPr>
        <w:jc w:val="both"/>
      </w:pPr>
      <w:r w:rsidRPr="00326FA1">
        <w:rPr>
          <w:b/>
          <w:bCs/>
          <w:i/>
          <w:iCs/>
          <w:u w:val="single"/>
        </w:rPr>
        <w:t xml:space="preserve">Art </w:t>
      </w:r>
      <w:r>
        <w:rPr>
          <w:b/>
          <w:bCs/>
          <w:i/>
          <w:iCs/>
          <w:u w:val="single"/>
        </w:rPr>
        <w:t>39</w:t>
      </w:r>
      <w:r w:rsidRPr="00326FA1">
        <w:rPr>
          <w:b/>
          <w:bCs/>
          <w:i/>
          <w:iCs/>
          <w:u w:val="single"/>
        </w:rPr>
        <w:t xml:space="preserve">, lid </w:t>
      </w:r>
      <w:r>
        <w:rPr>
          <w:b/>
          <w:bCs/>
          <w:i/>
          <w:iCs/>
          <w:u w:val="single"/>
        </w:rPr>
        <w:t>5</w:t>
      </w:r>
      <w:r w:rsidRPr="00326FA1">
        <w:rPr>
          <w:b/>
          <w:bCs/>
          <w:i/>
          <w:iCs/>
          <w:u w:val="single"/>
        </w:rPr>
        <w:t>:</w:t>
      </w:r>
    </w:p>
    <w:p w14:paraId="30AB5858" w14:textId="06192DB3" w:rsidR="00243465" w:rsidRPr="00243465" w:rsidRDefault="00616259" w:rsidP="00E335A0">
      <w:pPr>
        <w:jc w:val="both"/>
        <w:rPr>
          <w:i/>
          <w:iCs/>
        </w:rPr>
      </w:pPr>
      <w:r w:rsidRPr="00616259">
        <w:rPr>
          <w:i/>
          <w:iCs/>
        </w:rPr>
        <w:t>Het energie-efficiëntiefonds of een andere financiële intermediair kent leningen of garanties toe aan de in aanmerking komende energie-efficiëntieprojecten. De nominale waarde van de lening of het gegarandeerde bedrag bedraagt maximaal 25 miljoen EUR per eindbegunstigde en per project, behalve in het geval van de in lid 2 bis bedoelde gecombineerde investeringen, waarvoor het bedrag maximaal 30 miljoen EUR is.</w:t>
      </w:r>
      <w:r w:rsidR="00243465" w:rsidRPr="00243465">
        <w:rPr>
          <w:i/>
          <w:iCs/>
        </w:rPr>
        <w:t xml:space="preserve">De garantie beloopt niet meer dan 80% van de onderliggende lening. </w:t>
      </w:r>
    </w:p>
    <w:p w14:paraId="2B300525" w14:textId="0571CD6A" w:rsidR="00243465" w:rsidRDefault="00243465" w:rsidP="00E335A0">
      <w:pPr>
        <w:jc w:val="both"/>
      </w:pPr>
    </w:p>
    <w:p w14:paraId="79E21413" w14:textId="77777777" w:rsidR="00243465" w:rsidRDefault="00243465" w:rsidP="00E335A0">
      <w:pPr>
        <w:jc w:val="both"/>
      </w:pPr>
    </w:p>
    <w:p w14:paraId="6BDFD817" w14:textId="521A7D73" w:rsidR="00243465" w:rsidRDefault="00243465" w:rsidP="00243465">
      <w:pPr>
        <w:jc w:val="both"/>
      </w:pPr>
      <w:r w:rsidRPr="00326FA1">
        <w:rPr>
          <w:b/>
          <w:bCs/>
          <w:i/>
          <w:iCs/>
          <w:u w:val="single"/>
        </w:rPr>
        <w:t xml:space="preserve">Art </w:t>
      </w:r>
      <w:r>
        <w:rPr>
          <w:b/>
          <w:bCs/>
          <w:i/>
          <w:iCs/>
          <w:u w:val="single"/>
        </w:rPr>
        <w:t>39</w:t>
      </w:r>
      <w:r w:rsidRPr="00326FA1">
        <w:rPr>
          <w:b/>
          <w:bCs/>
          <w:i/>
          <w:iCs/>
          <w:u w:val="single"/>
        </w:rPr>
        <w:t xml:space="preserve">, lid </w:t>
      </w:r>
      <w:r>
        <w:rPr>
          <w:b/>
          <w:bCs/>
          <w:i/>
          <w:iCs/>
          <w:u w:val="single"/>
        </w:rPr>
        <w:t>6</w:t>
      </w:r>
      <w:r w:rsidRPr="00326FA1">
        <w:rPr>
          <w:b/>
          <w:bCs/>
          <w:i/>
          <w:iCs/>
          <w:u w:val="single"/>
        </w:rPr>
        <w:t>:</w:t>
      </w:r>
    </w:p>
    <w:p w14:paraId="22BEDE52" w14:textId="13ACEBD4" w:rsidR="00243465" w:rsidRPr="00243465" w:rsidRDefault="00243465" w:rsidP="00E335A0">
      <w:pPr>
        <w:jc w:val="both"/>
        <w:rPr>
          <w:i/>
          <w:iCs/>
        </w:rPr>
      </w:pPr>
      <w:r w:rsidRPr="00243465">
        <w:rPr>
          <w:i/>
          <w:iCs/>
        </w:rPr>
        <w:t>De terugbetaling door de eigenaren van gebouwen aan het energie-efficiëntiefonds of andere financiële intermediair gebeurt ten minste tegen de nominale waarde van de lening.</w:t>
      </w:r>
    </w:p>
    <w:p w14:paraId="01BC7CDB" w14:textId="15F45525" w:rsidR="00243465" w:rsidRDefault="00243465" w:rsidP="00E335A0">
      <w:pPr>
        <w:jc w:val="both"/>
        <w:rPr>
          <w:i/>
          <w:iCs/>
        </w:rPr>
      </w:pPr>
    </w:p>
    <w:p w14:paraId="5973278F" w14:textId="31C17EDA" w:rsidR="00AA0D64" w:rsidRDefault="00AA0D64" w:rsidP="00E335A0">
      <w:pPr>
        <w:jc w:val="both"/>
        <w:rPr>
          <w:i/>
          <w:iCs/>
        </w:rPr>
      </w:pPr>
    </w:p>
    <w:p w14:paraId="672C4C3B" w14:textId="555BA5F3" w:rsidR="00AA0D64" w:rsidRPr="00AA0D64" w:rsidRDefault="00AA0D64" w:rsidP="00E335A0">
      <w:pPr>
        <w:jc w:val="both"/>
      </w:pPr>
      <w:r w:rsidRPr="00326FA1">
        <w:rPr>
          <w:b/>
          <w:bCs/>
          <w:i/>
          <w:iCs/>
          <w:u w:val="single"/>
        </w:rPr>
        <w:t xml:space="preserve">Art </w:t>
      </w:r>
      <w:r>
        <w:rPr>
          <w:b/>
          <w:bCs/>
          <w:i/>
          <w:iCs/>
          <w:u w:val="single"/>
        </w:rPr>
        <w:t>39</w:t>
      </w:r>
      <w:r w:rsidRPr="00326FA1">
        <w:rPr>
          <w:b/>
          <w:bCs/>
          <w:i/>
          <w:iCs/>
          <w:u w:val="single"/>
        </w:rPr>
        <w:t xml:space="preserve">, lid </w:t>
      </w:r>
      <w:r>
        <w:rPr>
          <w:b/>
          <w:bCs/>
          <w:i/>
          <w:iCs/>
          <w:u w:val="single"/>
        </w:rPr>
        <w:t>7</w:t>
      </w:r>
      <w:r w:rsidRPr="00326FA1">
        <w:rPr>
          <w:b/>
          <w:bCs/>
          <w:i/>
          <w:iCs/>
          <w:u w:val="single"/>
        </w:rPr>
        <w:t>:</w:t>
      </w:r>
    </w:p>
    <w:p w14:paraId="614D5CB4" w14:textId="329FE53B" w:rsidR="00AA0D64" w:rsidRPr="00AA0D64" w:rsidRDefault="00616259" w:rsidP="00E335A0">
      <w:pPr>
        <w:jc w:val="both"/>
        <w:rPr>
          <w:i/>
          <w:iCs/>
        </w:rPr>
      </w:pPr>
      <w:r w:rsidRPr="00616259">
        <w:rPr>
          <w:i/>
          <w:iCs/>
        </w:rPr>
        <w:t>De energie-efficiëntiesteun dient als hefboom voor bijkomende investeringen van onafhankelijke particuliere investeerders zoals gedefinieerd in artikel 2, punt 72, zodat daarmee in totaal ten minste 30 % wordt bereikt van de totale financiering die voor een energie-efficiëntieproject wordt verstrekt. Wanneer de steun wordt verschaft door een energie-efficiëntiefonds, kan de hefboom van deze particuliere investering worden ingezet op het niveau van het energie-efficiëntiefonds en/of op het niveau van de energie-efficiëntieprojecten, zodat daarmee een bedrag wordt bereikt van in totaal ten minste 30 % van de totale financiering die voor een energie- efficiëntieproject wordt verstrekt.</w:t>
      </w:r>
      <w:r w:rsidR="00AA0D64" w:rsidRPr="00AA0D64">
        <w:rPr>
          <w:i/>
          <w:iCs/>
        </w:rPr>
        <w:t>.</w:t>
      </w:r>
    </w:p>
    <w:p w14:paraId="5285B852" w14:textId="31907AB3" w:rsidR="00342CCF" w:rsidRDefault="00342CCF" w:rsidP="00E335A0">
      <w:pPr>
        <w:jc w:val="both"/>
        <w:rPr>
          <w:i/>
          <w:iCs/>
        </w:rPr>
      </w:pPr>
      <w:r>
        <w:rPr>
          <w:noProof/>
          <w:lang w:eastAsia="nl-NL"/>
        </w:rPr>
        <w:lastRenderedPageBreak/>
        <mc:AlternateContent>
          <mc:Choice Requires="wps">
            <w:drawing>
              <wp:anchor distT="45720" distB="45720" distL="114300" distR="114300" simplePos="0" relativeHeight="251669504" behindDoc="0" locked="0" layoutInCell="1" allowOverlap="1" wp14:anchorId="0EBFF534" wp14:editId="752E8D00">
                <wp:simplePos x="0" y="0"/>
                <wp:positionH relativeFrom="margin">
                  <wp:posOffset>0</wp:posOffset>
                </wp:positionH>
                <wp:positionV relativeFrom="paragraph">
                  <wp:posOffset>220345</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EFCFE3F" w14:textId="21A239C0" w:rsidR="00342CCF" w:rsidRPr="002A62AB" w:rsidRDefault="00342CCF" w:rsidP="00342CCF">
                            <w:pPr>
                              <w:rPr>
                                <w:b/>
                                <w:bCs/>
                              </w:rPr>
                            </w:pPr>
                            <w:r w:rsidRPr="002A62AB">
                              <w:rPr>
                                <w:b/>
                                <w:bCs/>
                              </w:rPr>
                              <w:t xml:space="preserve">Geef hier aan waarom </w:t>
                            </w:r>
                            <w:r>
                              <w:rPr>
                                <w:b/>
                                <w:bCs/>
                              </w:rPr>
                              <w:t xml:space="preserve">wordt voldaan </w:t>
                            </w:r>
                            <w:r w:rsidRPr="002A62AB">
                              <w:rPr>
                                <w:b/>
                                <w:bCs/>
                              </w:rPr>
                              <w:t xml:space="preserve">aan artikel </w:t>
                            </w:r>
                            <w:r>
                              <w:rPr>
                                <w:b/>
                                <w:bCs/>
                              </w:rPr>
                              <w:t>39</w:t>
                            </w:r>
                            <w:r w:rsidRPr="002A62AB">
                              <w:rPr>
                                <w:b/>
                                <w:bCs/>
                              </w:rPr>
                              <w:t xml:space="preserve">, lid </w:t>
                            </w:r>
                            <w:r>
                              <w:rPr>
                                <w:b/>
                                <w:bCs/>
                              </w:rPr>
                              <w:t>4 tot en met lid 7</w:t>
                            </w:r>
                            <w:r w:rsidRPr="002A62AB">
                              <w:rPr>
                                <w:b/>
                                <w:bCs/>
                              </w:rPr>
                              <w:t>:</w:t>
                            </w:r>
                          </w:p>
                          <w:p w14:paraId="7AB2BCA1" w14:textId="77777777" w:rsidR="00342CCF" w:rsidRDefault="00342CCF" w:rsidP="00342CCF"/>
                          <w:p w14:paraId="35FB7588" w14:textId="77777777" w:rsidR="00342CCF" w:rsidRDefault="00342CCF" w:rsidP="00342CCF"/>
                          <w:p w14:paraId="0AD8C4CA" w14:textId="77777777" w:rsidR="00342CCF" w:rsidRDefault="00342CCF" w:rsidP="00342CCF"/>
                          <w:p w14:paraId="39023FD1" w14:textId="77777777" w:rsidR="00342CCF" w:rsidRDefault="00342CCF" w:rsidP="00342CCF"/>
                          <w:p w14:paraId="265704E0" w14:textId="77777777" w:rsidR="00342CCF" w:rsidRDefault="00342CCF" w:rsidP="00342CCF"/>
                          <w:p w14:paraId="7362D7F1" w14:textId="77777777" w:rsidR="00342CCF" w:rsidRDefault="00342CCF" w:rsidP="00342CCF"/>
                          <w:p w14:paraId="32033F33" w14:textId="77777777" w:rsidR="00342CCF" w:rsidRDefault="00342CCF" w:rsidP="00342CCF"/>
                          <w:p w14:paraId="419C4ABD" w14:textId="77777777" w:rsidR="00342CCF" w:rsidRDefault="00342CCF" w:rsidP="00342CCF"/>
                          <w:p w14:paraId="23EC0BE1" w14:textId="77777777" w:rsidR="00342CCF" w:rsidRDefault="00342CCF" w:rsidP="00342CC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BFF534" id="Tekstvak 5" o:spid="_x0000_s1028" type="#_x0000_t202" style="position:absolute;left:0;text-align:left;margin-left:0;margin-top:17.35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AhG+td3AAAAAcBAAAPAAAAAAAAAAAAAAAAAG8EAABkcnMvZG93bnJldi54bWxQSwUGAAAAAAQA&#10;BADzAAAAeAUAAAAA&#10;">
                <v:textbox style="mso-fit-shape-to-text:t">
                  <w:txbxContent>
                    <w:p w14:paraId="6EFCFE3F" w14:textId="21A239C0" w:rsidR="00342CCF" w:rsidRPr="002A62AB" w:rsidRDefault="00342CCF" w:rsidP="00342CCF">
                      <w:pPr>
                        <w:rPr>
                          <w:b/>
                          <w:bCs/>
                        </w:rPr>
                      </w:pPr>
                      <w:r w:rsidRPr="002A62AB">
                        <w:rPr>
                          <w:b/>
                          <w:bCs/>
                        </w:rPr>
                        <w:t xml:space="preserve">Geef hier aan waarom </w:t>
                      </w:r>
                      <w:r>
                        <w:rPr>
                          <w:b/>
                          <w:bCs/>
                        </w:rPr>
                        <w:t xml:space="preserve">wordt voldaan </w:t>
                      </w:r>
                      <w:r w:rsidRPr="002A62AB">
                        <w:rPr>
                          <w:b/>
                          <w:bCs/>
                        </w:rPr>
                        <w:t xml:space="preserve">aan artikel </w:t>
                      </w:r>
                      <w:r>
                        <w:rPr>
                          <w:b/>
                          <w:bCs/>
                        </w:rPr>
                        <w:t>39</w:t>
                      </w:r>
                      <w:r w:rsidRPr="002A62AB">
                        <w:rPr>
                          <w:b/>
                          <w:bCs/>
                        </w:rPr>
                        <w:t xml:space="preserve">, lid </w:t>
                      </w:r>
                      <w:r>
                        <w:rPr>
                          <w:b/>
                          <w:bCs/>
                        </w:rPr>
                        <w:t>4 tot en met lid 7</w:t>
                      </w:r>
                      <w:r w:rsidRPr="002A62AB">
                        <w:rPr>
                          <w:b/>
                          <w:bCs/>
                        </w:rPr>
                        <w:t>:</w:t>
                      </w:r>
                    </w:p>
                    <w:p w14:paraId="7AB2BCA1" w14:textId="77777777" w:rsidR="00342CCF" w:rsidRDefault="00342CCF" w:rsidP="00342CCF"/>
                    <w:p w14:paraId="35FB7588" w14:textId="77777777" w:rsidR="00342CCF" w:rsidRDefault="00342CCF" w:rsidP="00342CCF"/>
                    <w:p w14:paraId="0AD8C4CA" w14:textId="77777777" w:rsidR="00342CCF" w:rsidRDefault="00342CCF" w:rsidP="00342CCF"/>
                    <w:p w14:paraId="39023FD1" w14:textId="77777777" w:rsidR="00342CCF" w:rsidRDefault="00342CCF" w:rsidP="00342CCF"/>
                    <w:p w14:paraId="265704E0" w14:textId="77777777" w:rsidR="00342CCF" w:rsidRDefault="00342CCF" w:rsidP="00342CCF"/>
                    <w:p w14:paraId="7362D7F1" w14:textId="77777777" w:rsidR="00342CCF" w:rsidRDefault="00342CCF" w:rsidP="00342CCF"/>
                    <w:p w14:paraId="32033F33" w14:textId="77777777" w:rsidR="00342CCF" w:rsidRDefault="00342CCF" w:rsidP="00342CCF"/>
                    <w:p w14:paraId="419C4ABD" w14:textId="77777777" w:rsidR="00342CCF" w:rsidRDefault="00342CCF" w:rsidP="00342CCF"/>
                    <w:p w14:paraId="23EC0BE1" w14:textId="77777777" w:rsidR="00342CCF" w:rsidRDefault="00342CCF" w:rsidP="00342CCF">
                      <w:r>
                        <w:t xml:space="preserve">  </w:t>
                      </w:r>
                    </w:p>
                  </w:txbxContent>
                </v:textbox>
                <w10:wrap type="topAndBottom" anchorx="margin"/>
              </v:shape>
            </w:pict>
          </mc:Fallback>
        </mc:AlternateContent>
      </w:r>
    </w:p>
    <w:p w14:paraId="15198E78" w14:textId="107B54CF" w:rsidR="00AA0D64" w:rsidRDefault="00AA0D64" w:rsidP="00E335A0">
      <w:pPr>
        <w:jc w:val="both"/>
        <w:rPr>
          <w:i/>
          <w:iCs/>
        </w:rPr>
      </w:pPr>
    </w:p>
    <w:p w14:paraId="20CCEF0C" w14:textId="78F29BE1" w:rsidR="00AA0D64" w:rsidRDefault="00AA0D64" w:rsidP="00AA0D64">
      <w:pPr>
        <w:jc w:val="both"/>
      </w:pPr>
      <w:r w:rsidRPr="00326FA1">
        <w:rPr>
          <w:b/>
          <w:bCs/>
          <w:i/>
          <w:iCs/>
          <w:u w:val="single"/>
        </w:rPr>
        <w:t xml:space="preserve">Art </w:t>
      </w:r>
      <w:r>
        <w:rPr>
          <w:b/>
          <w:bCs/>
          <w:i/>
          <w:iCs/>
          <w:u w:val="single"/>
        </w:rPr>
        <w:t>39</w:t>
      </w:r>
      <w:r w:rsidRPr="00326FA1">
        <w:rPr>
          <w:b/>
          <w:bCs/>
          <w:i/>
          <w:iCs/>
          <w:u w:val="single"/>
        </w:rPr>
        <w:t xml:space="preserve">, lid </w:t>
      </w:r>
      <w:r>
        <w:rPr>
          <w:b/>
          <w:bCs/>
          <w:i/>
          <w:iCs/>
          <w:u w:val="single"/>
        </w:rPr>
        <w:t>8</w:t>
      </w:r>
      <w:r w:rsidRPr="00326FA1">
        <w:rPr>
          <w:b/>
          <w:bCs/>
          <w:i/>
          <w:iCs/>
          <w:u w:val="single"/>
        </w:rPr>
        <w:t>:</w:t>
      </w:r>
    </w:p>
    <w:p w14:paraId="5CFE43AC" w14:textId="77777777" w:rsidR="00EF6D49" w:rsidRPr="00EF6D49" w:rsidRDefault="00AA0D64" w:rsidP="00E335A0">
      <w:pPr>
        <w:jc w:val="both"/>
        <w:rPr>
          <w:i/>
          <w:iCs/>
        </w:rPr>
      </w:pPr>
      <w:r w:rsidRPr="00EF6D49">
        <w:rPr>
          <w:i/>
          <w:iCs/>
        </w:rPr>
        <w:t xml:space="preserve">Lidstaten kunnen voor het verstrekken van energie-efficiëntiesteun energie-efficiëntiefondsen opzetten en/of een beroep doen op financiële intermediairs. Daarbij moet dan aan de volgende voorwaarden worden voldaan: </w:t>
      </w:r>
    </w:p>
    <w:p w14:paraId="6B62A3AD" w14:textId="77777777" w:rsidR="00EF6D49" w:rsidRPr="00EF6D49" w:rsidRDefault="00EF6D49" w:rsidP="00E335A0">
      <w:pPr>
        <w:jc w:val="both"/>
        <w:rPr>
          <w:i/>
          <w:iCs/>
        </w:rPr>
      </w:pPr>
    </w:p>
    <w:p w14:paraId="665E06F3" w14:textId="77777777" w:rsidR="00EF6D49" w:rsidRPr="00EF6D49" w:rsidRDefault="00AA0D64" w:rsidP="00E335A0">
      <w:pPr>
        <w:jc w:val="both"/>
        <w:rPr>
          <w:i/>
          <w:iCs/>
        </w:rPr>
      </w:pPr>
      <w:r w:rsidRPr="00EF6D49">
        <w:rPr>
          <w:i/>
          <w:iCs/>
        </w:rPr>
        <w:t xml:space="preserve">a) managers van financiële intermediairs en managers van energie-efficiëntiefondsen worden geselecteerd via een openbare, transparante en niet-discriminerende oproep in overeenstemming met het toepasselijke Unierecht en nationale recht. Met name is er geen discriminatie op grond van de plaats van vestiging of registratie in een lidstaat. Van financiële intermediairs en managers van energie-efficiëntiefondsen kan worden geëist dat zij voldoen aan vooraf vastgestelde criteria die objectief gerechtvaardigd zijn door de aard van de investeringen; </w:t>
      </w:r>
    </w:p>
    <w:p w14:paraId="15D31B13" w14:textId="77777777" w:rsidR="00EF6D49" w:rsidRPr="00EF6D49" w:rsidRDefault="00EF6D49" w:rsidP="00E335A0">
      <w:pPr>
        <w:jc w:val="both"/>
        <w:rPr>
          <w:i/>
          <w:iCs/>
        </w:rPr>
      </w:pPr>
    </w:p>
    <w:p w14:paraId="0BAC5771" w14:textId="77777777" w:rsidR="00EF6D49" w:rsidRPr="00EF6D49" w:rsidRDefault="00AA0D64" w:rsidP="00E335A0">
      <w:pPr>
        <w:jc w:val="both"/>
        <w:rPr>
          <w:i/>
          <w:iCs/>
        </w:rPr>
      </w:pPr>
      <w:r w:rsidRPr="00EF6D49">
        <w:rPr>
          <w:i/>
          <w:iCs/>
        </w:rPr>
        <w:t xml:space="preserve">b) de onafhankelijke particuliere investeerders worden geselecteerd via een openbare, transparante en niet-discriminerende oproep in overeenstemming met het toepasselijke Unierecht en nationale recht, met als doel passende regelingen inzake risico-/beloningsverdeling tot stand te brengen, waarbij voor investeringen niet zijnde garanties asymmetrische winstdeling de voorkeur krijgt boven neerwaartse bescherming. Indien de particuliere investeerders niet via dit soort oproep worden geselecteerd, wordt het redelijke rendement voor de particuliere investeerders bepaald door een onafhankelijke deskundige die is geselecteerd via een openbare, transparante en niet-discriminerende oproep; </w:t>
      </w:r>
    </w:p>
    <w:p w14:paraId="2B90294D" w14:textId="77777777" w:rsidR="00EF6D49" w:rsidRPr="00EF6D49" w:rsidRDefault="00EF6D49" w:rsidP="00E335A0">
      <w:pPr>
        <w:jc w:val="both"/>
        <w:rPr>
          <w:i/>
          <w:iCs/>
        </w:rPr>
      </w:pPr>
    </w:p>
    <w:p w14:paraId="20EE1904" w14:textId="6DA344B8" w:rsidR="00EF6D49" w:rsidRPr="00EF6D49" w:rsidRDefault="00AA0D64" w:rsidP="00E335A0">
      <w:pPr>
        <w:jc w:val="both"/>
        <w:rPr>
          <w:i/>
          <w:iCs/>
        </w:rPr>
      </w:pPr>
      <w:r w:rsidRPr="00EF6D49">
        <w:rPr>
          <w:i/>
          <w:iCs/>
        </w:rPr>
        <w:t xml:space="preserve">c) in het geval van asymmetrische verliesdeling tussen publieke en particuliere investeerders, wordt het eerste, voor rekening van de publieke investeerder komende verlies gemaximeerd op 25% van de totale investering; </w:t>
      </w:r>
    </w:p>
    <w:p w14:paraId="3593A387" w14:textId="77777777" w:rsidR="00EF6D49" w:rsidRPr="00EF6D49" w:rsidRDefault="00EF6D49" w:rsidP="00E335A0">
      <w:pPr>
        <w:jc w:val="both"/>
        <w:rPr>
          <w:i/>
          <w:iCs/>
        </w:rPr>
      </w:pPr>
    </w:p>
    <w:p w14:paraId="517E40E9" w14:textId="77777777" w:rsidR="00EF6D49" w:rsidRPr="00EF6D49" w:rsidRDefault="00AA0D64" w:rsidP="00E335A0">
      <w:pPr>
        <w:jc w:val="both"/>
        <w:rPr>
          <w:i/>
          <w:iCs/>
        </w:rPr>
      </w:pPr>
      <w:r w:rsidRPr="00EF6D49">
        <w:rPr>
          <w:i/>
          <w:iCs/>
        </w:rPr>
        <w:t xml:space="preserve">d) in het geval van garanties wordt het garantiepercentage beperkt tot 80% en zijn de totale verliezen die een lidstaat op zich neemt, gemaximeerd op 25% van de onderliggende gegarandeerde portefeuille. Alleen garanties die de verwachte verliezen op de onderliggende gegarandeerde portefeuille dekken, kunnen kosteloos worden afgegeven. Indien een garantie ook de dekking van onverwachte verliezen omvat, betaalt de financiële intermediair voor het gedeelte van de garantie dat de onverwachte verliezen dekt, een marktconforme garantiepremie. </w:t>
      </w:r>
    </w:p>
    <w:p w14:paraId="04F48F15" w14:textId="77777777" w:rsidR="00EF6D49" w:rsidRPr="00EF6D49" w:rsidRDefault="00EF6D49" w:rsidP="00E335A0">
      <w:pPr>
        <w:jc w:val="both"/>
        <w:rPr>
          <w:i/>
          <w:iCs/>
        </w:rPr>
      </w:pPr>
    </w:p>
    <w:p w14:paraId="4957BA72" w14:textId="738D0B39" w:rsidR="00EF6D49" w:rsidRPr="00EF6D49" w:rsidRDefault="00AA0D64" w:rsidP="00E335A0">
      <w:pPr>
        <w:jc w:val="both"/>
        <w:rPr>
          <w:i/>
          <w:iCs/>
        </w:rPr>
      </w:pPr>
      <w:r w:rsidRPr="00EF6D49">
        <w:rPr>
          <w:i/>
          <w:iCs/>
        </w:rPr>
        <w:lastRenderedPageBreak/>
        <w:t xml:space="preserve">e) de investeerders kunnen vertegenwoordigd zijn in de bestuursorganen van het energie-efficiëntiefonds of de financiële intermediair, zoals de raad van toezicht of het adviescomité; </w:t>
      </w:r>
    </w:p>
    <w:p w14:paraId="045EC66A" w14:textId="77777777" w:rsidR="00EF6D49" w:rsidRPr="00EF6D49" w:rsidRDefault="00EF6D49" w:rsidP="00E335A0">
      <w:pPr>
        <w:jc w:val="both"/>
        <w:rPr>
          <w:i/>
          <w:iCs/>
        </w:rPr>
      </w:pPr>
    </w:p>
    <w:p w14:paraId="66713A0D" w14:textId="5116C663" w:rsidR="00AA0D64" w:rsidRPr="00EF6D49" w:rsidRDefault="00AA0D64" w:rsidP="00E335A0">
      <w:pPr>
        <w:jc w:val="both"/>
        <w:rPr>
          <w:i/>
          <w:iCs/>
        </w:rPr>
      </w:pPr>
      <w:r w:rsidRPr="00EF6D49">
        <w:rPr>
          <w:i/>
          <w:iCs/>
        </w:rPr>
        <w:t xml:space="preserve">f) </w:t>
      </w:r>
      <w:r w:rsidR="00616259" w:rsidRPr="00616259">
        <w:rPr>
          <w:i/>
          <w:iCs/>
        </w:rPr>
        <w:t>het energie-efficiëntiefonds of de financiële intermediair wordt opgericht overeenkomstig het toepasselijke recht en de lidstaat ziet erop toe dat een boekenonderzoek plaatsvindt om zich ervan te vergewissen dat de uitvoering van de steunmaatregel ten behoeve van energie-efficiëntie volgens een zakelijk verantwoorde investeringsstrategie plaatsvindt</w:t>
      </w:r>
      <w:r w:rsidRPr="00EF6D49">
        <w:rPr>
          <w:i/>
          <w:iCs/>
        </w:rPr>
        <w:t>.</w:t>
      </w:r>
    </w:p>
    <w:p w14:paraId="71397F82" w14:textId="77777777" w:rsidR="00AA0D64" w:rsidRDefault="00AA0D64" w:rsidP="00E335A0">
      <w:pPr>
        <w:jc w:val="both"/>
        <w:rPr>
          <w:i/>
          <w:iCs/>
        </w:rPr>
      </w:pPr>
    </w:p>
    <w:p w14:paraId="631CD378" w14:textId="4320C5C0" w:rsidR="00243465" w:rsidRDefault="00243465" w:rsidP="00E335A0">
      <w:pPr>
        <w:jc w:val="both"/>
        <w:rPr>
          <w:i/>
          <w:iCs/>
        </w:rPr>
      </w:pPr>
    </w:p>
    <w:p w14:paraId="5B4F3323" w14:textId="70445585" w:rsidR="00877340" w:rsidRPr="00877340" w:rsidRDefault="00877340" w:rsidP="00E335A0">
      <w:pPr>
        <w:jc w:val="both"/>
      </w:pPr>
      <w:r w:rsidRPr="00326FA1">
        <w:rPr>
          <w:b/>
          <w:bCs/>
          <w:i/>
          <w:iCs/>
          <w:u w:val="single"/>
        </w:rPr>
        <w:t xml:space="preserve">Art </w:t>
      </w:r>
      <w:r>
        <w:rPr>
          <w:b/>
          <w:bCs/>
          <w:i/>
          <w:iCs/>
          <w:u w:val="single"/>
        </w:rPr>
        <w:t>39</w:t>
      </w:r>
      <w:r w:rsidRPr="00326FA1">
        <w:rPr>
          <w:b/>
          <w:bCs/>
          <w:i/>
          <w:iCs/>
          <w:u w:val="single"/>
        </w:rPr>
        <w:t xml:space="preserve">, lid </w:t>
      </w:r>
      <w:r>
        <w:rPr>
          <w:b/>
          <w:bCs/>
          <w:i/>
          <w:iCs/>
          <w:u w:val="single"/>
        </w:rPr>
        <w:t>9</w:t>
      </w:r>
      <w:r w:rsidRPr="00326FA1">
        <w:rPr>
          <w:b/>
          <w:bCs/>
          <w:i/>
          <w:iCs/>
          <w:u w:val="single"/>
        </w:rPr>
        <w:t>:</w:t>
      </w:r>
    </w:p>
    <w:p w14:paraId="20E55A79" w14:textId="77777777" w:rsidR="00EF6D49" w:rsidRPr="00877340" w:rsidRDefault="00EF6D49" w:rsidP="00E335A0">
      <w:pPr>
        <w:jc w:val="both"/>
        <w:rPr>
          <w:i/>
          <w:iCs/>
        </w:rPr>
      </w:pPr>
      <w:r w:rsidRPr="00877340">
        <w:rPr>
          <w:i/>
          <w:iCs/>
        </w:rPr>
        <w:t xml:space="preserve">Financiële intermediairs, met inbegrip van energie-efficiëntiefondsen, worden op zakelijke basis beheerd en zorgen voor winstgedreven financieringsbesluiten. Dit wordt geacht het geval te zijn wanneer de financiële intermediair en, in voorkomend geval, de managers van het energie-efficiëntiefonds voldoen aan de volgende voorwaarden: </w:t>
      </w:r>
    </w:p>
    <w:p w14:paraId="584909EA" w14:textId="77777777" w:rsidR="00EF6D49" w:rsidRPr="00877340" w:rsidRDefault="00EF6D49" w:rsidP="00E335A0">
      <w:pPr>
        <w:jc w:val="both"/>
        <w:rPr>
          <w:i/>
          <w:iCs/>
        </w:rPr>
      </w:pPr>
    </w:p>
    <w:p w14:paraId="5EFDA4FA" w14:textId="77777777" w:rsidR="00EF6D49" w:rsidRPr="00877340" w:rsidRDefault="00EF6D49" w:rsidP="00E335A0">
      <w:pPr>
        <w:jc w:val="both"/>
        <w:rPr>
          <w:i/>
          <w:iCs/>
        </w:rPr>
      </w:pPr>
      <w:r w:rsidRPr="00877340">
        <w:rPr>
          <w:i/>
          <w:iCs/>
        </w:rPr>
        <w:t xml:space="preserve">a) zij zijn wettelijk of contractueel verplicht met de nodige professionele zorgvuldigheid en te goeder trouw te handelen en belangenconflicten te vermijden. Daarbij zijn goede praktijken en wettelijk toezicht van toepassing; </w:t>
      </w:r>
    </w:p>
    <w:p w14:paraId="285E8F5E" w14:textId="77777777" w:rsidR="00EF6D49" w:rsidRPr="00877340" w:rsidRDefault="00EF6D49" w:rsidP="00E335A0">
      <w:pPr>
        <w:jc w:val="both"/>
        <w:rPr>
          <w:i/>
          <w:iCs/>
        </w:rPr>
      </w:pPr>
    </w:p>
    <w:p w14:paraId="0F0EA9D3" w14:textId="43AEEA47" w:rsidR="00EF6D49" w:rsidRPr="00877340" w:rsidRDefault="00EF6D49" w:rsidP="00E335A0">
      <w:pPr>
        <w:jc w:val="both"/>
        <w:rPr>
          <w:i/>
          <w:iCs/>
        </w:rPr>
      </w:pPr>
      <w:r w:rsidRPr="00877340">
        <w:rPr>
          <w:i/>
          <w:iCs/>
        </w:rPr>
        <w:t xml:space="preserve">b) hun vergoeding is marktconform. Dit vereiste wordt geacht te zijn vervuld wanneer de manager wordt geselecteerd via een openbare, transparante en niet-discriminerende oproep, op basis van objectieve criteria die verband houden met ervaring, deskundigheid en operationele en financiële capaciteiten; </w:t>
      </w:r>
    </w:p>
    <w:p w14:paraId="48B97484" w14:textId="77777777" w:rsidR="00EF6D49" w:rsidRPr="00877340" w:rsidRDefault="00EF6D49" w:rsidP="00E335A0">
      <w:pPr>
        <w:jc w:val="both"/>
        <w:rPr>
          <w:i/>
          <w:iCs/>
        </w:rPr>
      </w:pPr>
    </w:p>
    <w:p w14:paraId="3AC67F53" w14:textId="77777777" w:rsidR="00877340" w:rsidRPr="00877340" w:rsidRDefault="00EF6D49" w:rsidP="00E335A0">
      <w:pPr>
        <w:jc w:val="both"/>
        <w:rPr>
          <w:i/>
          <w:iCs/>
        </w:rPr>
      </w:pPr>
      <w:r w:rsidRPr="00877340">
        <w:rPr>
          <w:i/>
          <w:iCs/>
        </w:rPr>
        <w:t xml:space="preserve">c) zij ontvangen een prestatieafhankelijke vergoeding of dragen een deel van de investeringsrisico's door eigen middelen mee te investeren tegen dezelfde risicovoorwaarden als de publieke investeerder, zodat hun belangen steeds gelijklopen met die van de publieke investeerder; </w:t>
      </w:r>
    </w:p>
    <w:p w14:paraId="27031BE1" w14:textId="77777777" w:rsidR="00877340" w:rsidRPr="00877340" w:rsidRDefault="00877340" w:rsidP="00E335A0">
      <w:pPr>
        <w:jc w:val="both"/>
        <w:rPr>
          <w:i/>
          <w:iCs/>
        </w:rPr>
      </w:pPr>
    </w:p>
    <w:p w14:paraId="00843056" w14:textId="6C0F6E30" w:rsidR="00877340" w:rsidRPr="00877340" w:rsidRDefault="00EF6D49" w:rsidP="00E335A0">
      <w:pPr>
        <w:jc w:val="both"/>
        <w:rPr>
          <w:i/>
          <w:iCs/>
        </w:rPr>
      </w:pPr>
      <w:r w:rsidRPr="00877340">
        <w:rPr>
          <w:i/>
          <w:iCs/>
        </w:rPr>
        <w:t xml:space="preserve">d) zij bepalen investeringsstrategie, criteria en voorgenomen tijdschema voor investeringen in energie-efficiëntieprojecten, waarin vooraf de financiële levensvatbaarheid en de verwachte impact op de energie-efficiëntie worden aangetoond; </w:t>
      </w:r>
    </w:p>
    <w:p w14:paraId="110B1A56" w14:textId="77777777" w:rsidR="00877340" w:rsidRPr="00877340" w:rsidRDefault="00877340" w:rsidP="00E335A0">
      <w:pPr>
        <w:jc w:val="both"/>
        <w:rPr>
          <w:i/>
          <w:iCs/>
        </w:rPr>
      </w:pPr>
    </w:p>
    <w:p w14:paraId="42F39F60" w14:textId="6A3F14BA" w:rsidR="00EF6D49" w:rsidRPr="00877340" w:rsidRDefault="00EF6D49" w:rsidP="00E335A0">
      <w:pPr>
        <w:jc w:val="both"/>
        <w:rPr>
          <w:i/>
          <w:iCs/>
        </w:rPr>
      </w:pPr>
      <w:r w:rsidRPr="00877340">
        <w:rPr>
          <w:i/>
          <w:iCs/>
        </w:rPr>
        <w:t xml:space="preserve">e) voor de in het energie-efficiëntiefonds geïnvesteerde of de aan de financiële intermediair verschafte publieke middelen is een heldere en realistische exitstrategie voorhanden, die de mogelijkheid biedt om energie-efficiëntieprojecten door de markt te laten te financieren wanneer deze daarvoor klaar is. </w:t>
      </w:r>
    </w:p>
    <w:p w14:paraId="0E6023DE" w14:textId="710658D5" w:rsidR="00342CCF" w:rsidRDefault="00342CCF" w:rsidP="00E335A0">
      <w:pPr>
        <w:jc w:val="both"/>
      </w:pPr>
      <w:r>
        <w:rPr>
          <w:noProof/>
          <w:lang w:eastAsia="nl-NL"/>
        </w:rPr>
        <w:lastRenderedPageBreak/>
        <mc:AlternateContent>
          <mc:Choice Requires="wps">
            <w:drawing>
              <wp:anchor distT="45720" distB="45720" distL="114300" distR="114300" simplePos="0" relativeHeight="251667456" behindDoc="0" locked="0" layoutInCell="1" allowOverlap="1" wp14:anchorId="1B8AE5D5" wp14:editId="3A9FD8FF">
                <wp:simplePos x="0" y="0"/>
                <wp:positionH relativeFrom="margin">
                  <wp:posOffset>0</wp:posOffset>
                </wp:positionH>
                <wp:positionV relativeFrom="paragraph">
                  <wp:posOffset>220345</wp:posOffset>
                </wp:positionV>
                <wp:extent cx="5405119" cy="634364"/>
                <wp:effectExtent l="0" t="0" r="24765" b="266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94CA28A" w14:textId="2D1AC84E" w:rsidR="00342CCF" w:rsidRPr="002A62AB" w:rsidRDefault="00342CCF" w:rsidP="00342CCF">
                            <w:pPr>
                              <w:rPr>
                                <w:b/>
                                <w:bCs/>
                              </w:rPr>
                            </w:pPr>
                            <w:r w:rsidRPr="002A62AB">
                              <w:rPr>
                                <w:b/>
                                <w:bCs/>
                              </w:rPr>
                              <w:t xml:space="preserve">Geef hier aan waarom </w:t>
                            </w:r>
                            <w:r>
                              <w:rPr>
                                <w:b/>
                                <w:bCs/>
                              </w:rPr>
                              <w:t xml:space="preserve">wordt voldaan </w:t>
                            </w:r>
                            <w:r w:rsidRPr="002A62AB">
                              <w:rPr>
                                <w:b/>
                                <w:bCs/>
                              </w:rPr>
                              <w:t xml:space="preserve">aan artikel </w:t>
                            </w:r>
                            <w:r>
                              <w:rPr>
                                <w:b/>
                                <w:bCs/>
                              </w:rPr>
                              <w:t>39</w:t>
                            </w:r>
                            <w:r w:rsidRPr="002A62AB">
                              <w:rPr>
                                <w:b/>
                                <w:bCs/>
                              </w:rPr>
                              <w:t xml:space="preserve">, lid </w:t>
                            </w:r>
                            <w:r>
                              <w:rPr>
                                <w:b/>
                                <w:bCs/>
                              </w:rPr>
                              <w:t>8 en lid 9</w:t>
                            </w:r>
                            <w:r w:rsidRPr="002A62AB">
                              <w:rPr>
                                <w:b/>
                                <w:bCs/>
                              </w:rPr>
                              <w:t>:</w:t>
                            </w:r>
                          </w:p>
                          <w:p w14:paraId="2C044606" w14:textId="77777777" w:rsidR="00342CCF" w:rsidRDefault="00342CCF" w:rsidP="00342CCF"/>
                          <w:p w14:paraId="3AFF2F5E" w14:textId="77777777" w:rsidR="00342CCF" w:rsidRDefault="00342CCF" w:rsidP="00342CCF"/>
                          <w:p w14:paraId="6AC90528" w14:textId="77777777" w:rsidR="00342CCF" w:rsidRDefault="00342CCF" w:rsidP="00342CCF"/>
                          <w:p w14:paraId="3CD7D1D5" w14:textId="77777777" w:rsidR="00342CCF" w:rsidRDefault="00342CCF" w:rsidP="00342CCF"/>
                          <w:p w14:paraId="3E99AD6C" w14:textId="77777777" w:rsidR="00342CCF" w:rsidRDefault="00342CCF" w:rsidP="00342CCF"/>
                          <w:p w14:paraId="289EE84B" w14:textId="77777777" w:rsidR="00342CCF" w:rsidRDefault="00342CCF" w:rsidP="00342CCF"/>
                          <w:p w14:paraId="734259D6" w14:textId="77777777" w:rsidR="00342CCF" w:rsidRDefault="00342CCF" w:rsidP="00342CCF"/>
                          <w:p w14:paraId="537D69B7" w14:textId="77777777" w:rsidR="00342CCF" w:rsidRDefault="00342CCF" w:rsidP="00342CCF"/>
                          <w:p w14:paraId="0D4D7ECE" w14:textId="77777777" w:rsidR="00342CCF" w:rsidRDefault="00342CCF" w:rsidP="00342CC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8AE5D5" id="Tekstvak 6" o:spid="_x0000_s1029" type="#_x0000_t202" style="position:absolute;left:0;text-align:left;margin-left:0;margin-top:17.35pt;width:425.6pt;height:49.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Y&#10;A1nUFQIAACYEAAAOAAAAAAAAAAAAAAAAAC4CAABkcnMvZTJvRG9jLnhtbFBLAQItABQABgAIAAAA&#10;IQAhG+td3AAAAAcBAAAPAAAAAAAAAAAAAAAAAG8EAABkcnMvZG93bnJldi54bWxQSwUGAAAAAAQA&#10;BADzAAAAeAUAAAAA&#10;">
                <v:textbox style="mso-fit-shape-to-text:t">
                  <w:txbxContent>
                    <w:p w14:paraId="194CA28A" w14:textId="2D1AC84E" w:rsidR="00342CCF" w:rsidRPr="002A62AB" w:rsidRDefault="00342CCF" w:rsidP="00342CCF">
                      <w:pPr>
                        <w:rPr>
                          <w:b/>
                          <w:bCs/>
                        </w:rPr>
                      </w:pPr>
                      <w:r w:rsidRPr="002A62AB">
                        <w:rPr>
                          <w:b/>
                          <w:bCs/>
                        </w:rPr>
                        <w:t xml:space="preserve">Geef hier aan waarom </w:t>
                      </w:r>
                      <w:r>
                        <w:rPr>
                          <w:b/>
                          <w:bCs/>
                        </w:rPr>
                        <w:t xml:space="preserve">wordt voldaan </w:t>
                      </w:r>
                      <w:r w:rsidRPr="002A62AB">
                        <w:rPr>
                          <w:b/>
                          <w:bCs/>
                        </w:rPr>
                        <w:t xml:space="preserve">aan artikel </w:t>
                      </w:r>
                      <w:r>
                        <w:rPr>
                          <w:b/>
                          <w:bCs/>
                        </w:rPr>
                        <w:t>39</w:t>
                      </w:r>
                      <w:r w:rsidRPr="002A62AB">
                        <w:rPr>
                          <w:b/>
                          <w:bCs/>
                        </w:rPr>
                        <w:t xml:space="preserve">, lid </w:t>
                      </w:r>
                      <w:r>
                        <w:rPr>
                          <w:b/>
                          <w:bCs/>
                        </w:rPr>
                        <w:t>8 en lid 9</w:t>
                      </w:r>
                      <w:r w:rsidRPr="002A62AB">
                        <w:rPr>
                          <w:b/>
                          <w:bCs/>
                        </w:rPr>
                        <w:t>:</w:t>
                      </w:r>
                    </w:p>
                    <w:p w14:paraId="2C044606" w14:textId="77777777" w:rsidR="00342CCF" w:rsidRDefault="00342CCF" w:rsidP="00342CCF"/>
                    <w:p w14:paraId="3AFF2F5E" w14:textId="77777777" w:rsidR="00342CCF" w:rsidRDefault="00342CCF" w:rsidP="00342CCF"/>
                    <w:p w14:paraId="6AC90528" w14:textId="77777777" w:rsidR="00342CCF" w:rsidRDefault="00342CCF" w:rsidP="00342CCF"/>
                    <w:p w14:paraId="3CD7D1D5" w14:textId="77777777" w:rsidR="00342CCF" w:rsidRDefault="00342CCF" w:rsidP="00342CCF"/>
                    <w:p w14:paraId="3E99AD6C" w14:textId="77777777" w:rsidR="00342CCF" w:rsidRDefault="00342CCF" w:rsidP="00342CCF"/>
                    <w:p w14:paraId="289EE84B" w14:textId="77777777" w:rsidR="00342CCF" w:rsidRDefault="00342CCF" w:rsidP="00342CCF"/>
                    <w:p w14:paraId="734259D6" w14:textId="77777777" w:rsidR="00342CCF" w:rsidRDefault="00342CCF" w:rsidP="00342CCF"/>
                    <w:p w14:paraId="537D69B7" w14:textId="77777777" w:rsidR="00342CCF" w:rsidRDefault="00342CCF" w:rsidP="00342CCF"/>
                    <w:p w14:paraId="0D4D7ECE" w14:textId="77777777" w:rsidR="00342CCF" w:rsidRDefault="00342CCF" w:rsidP="00342CCF">
                      <w:r>
                        <w:t xml:space="preserve">  </w:t>
                      </w:r>
                    </w:p>
                  </w:txbxContent>
                </v:textbox>
                <w10:wrap type="topAndBottom" anchorx="margin"/>
              </v:shape>
            </w:pict>
          </mc:Fallback>
        </mc:AlternateContent>
      </w:r>
    </w:p>
    <w:p w14:paraId="0767A5FE" w14:textId="77777777" w:rsidR="00EF6D49" w:rsidRDefault="00EF6D49" w:rsidP="00E335A0">
      <w:pPr>
        <w:jc w:val="both"/>
      </w:pPr>
    </w:p>
    <w:p w14:paraId="0891B79F" w14:textId="15AD4085" w:rsidR="00877340" w:rsidRDefault="00877340" w:rsidP="00877340">
      <w:pPr>
        <w:jc w:val="both"/>
      </w:pPr>
      <w:r w:rsidRPr="00326FA1">
        <w:rPr>
          <w:b/>
          <w:bCs/>
          <w:i/>
          <w:iCs/>
          <w:u w:val="single"/>
        </w:rPr>
        <w:t xml:space="preserve">Art </w:t>
      </w:r>
      <w:r>
        <w:rPr>
          <w:b/>
          <w:bCs/>
          <w:i/>
          <w:iCs/>
          <w:u w:val="single"/>
        </w:rPr>
        <w:t>39</w:t>
      </w:r>
      <w:r w:rsidRPr="00326FA1">
        <w:rPr>
          <w:b/>
          <w:bCs/>
          <w:i/>
          <w:iCs/>
          <w:u w:val="single"/>
        </w:rPr>
        <w:t xml:space="preserve">, lid </w:t>
      </w:r>
      <w:r>
        <w:rPr>
          <w:b/>
          <w:bCs/>
          <w:i/>
          <w:iCs/>
          <w:u w:val="single"/>
        </w:rPr>
        <w:t>10</w:t>
      </w:r>
      <w:r w:rsidRPr="00326FA1">
        <w:rPr>
          <w:b/>
          <w:bCs/>
          <w:i/>
          <w:iCs/>
          <w:u w:val="single"/>
        </w:rPr>
        <w:t>:</w:t>
      </w:r>
    </w:p>
    <w:p w14:paraId="0FAADC40" w14:textId="43B9EB3A" w:rsidR="00243465" w:rsidRPr="00877340" w:rsidRDefault="00616259" w:rsidP="00E335A0">
      <w:pPr>
        <w:jc w:val="both"/>
        <w:rPr>
          <w:i/>
          <w:iCs/>
        </w:rPr>
      </w:pPr>
      <w:r w:rsidRPr="00616259">
        <w:rPr>
          <w:i/>
          <w:iCs/>
        </w:rPr>
        <w:t>Op grond van dit artikel wordt geen steun toegekend voor investeringen om te voldoen aan Unienormen die zijn vastgesteld en van kracht zijn.</w:t>
      </w:r>
      <w:r w:rsidR="00EF6D49" w:rsidRPr="00877340">
        <w:rPr>
          <w:i/>
          <w:iCs/>
        </w:rPr>
        <w:t>.</w:t>
      </w:r>
    </w:p>
    <w:p w14:paraId="561577A6" w14:textId="77777777" w:rsidR="00243465" w:rsidRDefault="00243465" w:rsidP="00E335A0">
      <w:pPr>
        <w:jc w:val="both"/>
        <w:rPr>
          <w:i/>
          <w:iCs/>
        </w:rPr>
      </w:pPr>
    </w:p>
    <w:p w14:paraId="18C43A49" w14:textId="77777777" w:rsidR="00243465" w:rsidRDefault="00243465" w:rsidP="00E335A0">
      <w:pPr>
        <w:jc w:val="both"/>
        <w:rPr>
          <w:i/>
          <w:iCs/>
        </w:rPr>
      </w:pPr>
    </w:p>
    <w:p w14:paraId="0BED28AA" w14:textId="77777777" w:rsidR="00243465" w:rsidRDefault="00243465" w:rsidP="00E335A0">
      <w:pPr>
        <w:jc w:val="both"/>
        <w:rPr>
          <w:i/>
          <w:iCs/>
        </w:rPr>
      </w:pPr>
    </w:p>
    <w:p w14:paraId="1B63475C" w14:textId="7E1F515C" w:rsidR="00616259" w:rsidRDefault="00616259" w:rsidP="00616259">
      <w:pPr>
        <w:jc w:val="both"/>
      </w:pPr>
      <w:r w:rsidRPr="00326FA1">
        <w:rPr>
          <w:b/>
          <w:bCs/>
          <w:i/>
          <w:iCs/>
          <w:u w:val="single"/>
        </w:rPr>
        <w:t xml:space="preserve">Art </w:t>
      </w:r>
      <w:r>
        <w:rPr>
          <w:b/>
          <w:bCs/>
          <w:i/>
          <w:iCs/>
          <w:u w:val="single"/>
        </w:rPr>
        <w:t>39</w:t>
      </w:r>
      <w:r w:rsidRPr="00326FA1">
        <w:rPr>
          <w:b/>
          <w:bCs/>
          <w:i/>
          <w:iCs/>
          <w:u w:val="single"/>
        </w:rPr>
        <w:t xml:space="preserve">, lid </w:t>
      </w:r>
      <w:r>
        <w:rPr>
          <w:b/>
          <w:bCs/>
          <w:i/>
          <w:iCs/>
          <w:u w:val="single"/>
        </w:rPr>
        <w:t>11</w:t>
      </w:r>
      <w:r w:rsidRPr="00326FA1">
        <w:rPr>
          <w:b/>
          <w:bCs/>
          <w:i/>
          <w:iCs/>
          <w:u w:val="single"/>
        </w:rPr>
        <w:t>:</w:t>
      </w:r>
    </w:p>
    <w:p w14:paraId="3CBD5158" w14:textId="32D89F69" w:rsidR="00616259" w:rsidRDefault="001B523B" w:rsidP="00E335A0">
      <w:pPr>
        <w:jc w:val="both"/>
        <w:rPr>
          <w:i/>
          <w:iCs/>
        </w:rPr>
      </w:pPr>
      <w:r w:rsidRPr="001B523B">
        <w:rPr>
          <w:i/>
          <w:iCs/>
        </w:rPr>
        <w:t>Op grond van dit artikel kan steun worden toegekend voor investeringen om te voldoen aan Unienormen die zijn vastgesteld maar nog niet van kracht zijn. Wanneer de relevante Unienormen minimumnormen inzake energieprestaties zijn, moet de steun worden verleend voordat de normen voor de betrokken onderneming bindend worden. In dat geval moet de lidstaat ervoor zorgen dat de begunstigden een nauwkeurig renovatieplan en -tijdschema indienen waaruit blijkt dat de gesteunde renovatie ten minste volstaat om de naleving van de minimumnormen inzake energieprestaties te garanderen. Wanneer de relevante Unienormen afwijken van de minimumnormen inzake energieprestaties, moet de investering ten minste 18 maanden vóór de inwerkingtreding van de norm zijn uitgevoerd en voltooid.</w:t>
      </w:r>
    </w:p>
    <w:p w14:paraId="4A718B66" w14:textId="77777777" w:rsidR="001B523B" w:rsidRDefault="001B523B" w:rsidP="00E335A0">
      <w:pPr>
        <w:jc w:val="both"/>
        <w:rPr>
          <w:i/>
          <w:iCs/>
        </w:rPr>
      </w:pPr>
    </w:p>
    <w:p w14:paraId="6A16DB4F" w14:textId="77777777" w:rsidR="001B523B" w:rsidRDefault="001B523B" w:rsidP="00E335A0">
      <w:pPr>
        <w:jc w:val="both"/>
        <w:rPr>
          <w:i/>
          <w:iCs/>
        </w:rPr>
      </w:pPr>
    </w:p>
    <w:p w14:paraId="1A23CE44" w14:textId="3D0E2A66" w:rsidR="001B523B" w:rsidRDefault="001B523B" w:rsidP="001B523B">
      <w:pPr>
        <w:jc w:val="both"/>
      </w:pPr>
      <w:r w:rsidRPr="00326FA1">
        <w:rPr>
          <w:b/>
          <w:bCs/>
          <w:i/>
          <w:iCs/>
          <w:u w:val="single"/>
        </w:rPr>
        <w:t xml:space="preserve">Art </w:t>
      </w:r>
      <w:r>
        <w:rPr>
          <w:b/>
          <w:bCs/>
          <w:i/>
          <w:iCs/>
          <w:u w:val="single"/>
        </w:rPr>
        <w:t>39</w:t>
      </w:r>
      <w:r w:rsidRPr="00326FA1">
        <w:rPr>
          <w:b/>
          <w:bCs/>
          <w:i/>
          <w:iCs/>
          <w:u w:val="single"/>
        </w:rPr>
        <w:t xml:space="preserve">, lid </w:t>
      </w:r>
      <w:r>
        <w:rPr>
          <w:b/>
          <w:bCs/>
          <w:i/>
          <w:iCs/>
          <w:u w:val="single"/>
        </w:rPr>
        <w:t>12</w:t>
      </w:r>
      <w:r w:rsidRPr="00326FA1">
        <w:rPr>
          <w:b/>
          <w:bCs/>
          <w:i/>
          <w:iCs/>
          <w:u w:val="single"/>
        </w:rPr>
        <w:t>:</w:t>
      </w:r>
    </w:p>
    <w:p w14:paraId="0707A10E" w14:textId="2572144C" w:rsidR="001B523B" w:rsidRDefault="001B523B" w:rsidP="001B523B">
      <w:pPr>
        <w:jc w:val="both"/>
        <w:rPr>
          <w:i/>
          <w:iCs/>
        </w:rPr>
      </w:pPr>
      <w:r w:rsidRPr="001B523B">
        <w:rPr>
          <w:i/>
          <w:iCs/>
        </w:rPr>
        <w:t>Steun kan ook worden toegekend om de energie-efficiëntie van de verwarmings- of koelingsuitrusting in het gebouw te verbeteren</w:t>
      </w:r>
      <w:r>
        <w:rPr>
          <w:i/>
          <w:iCs/>
        </w:rPr>
        <w:t>.</w:t>
      </w:r>
    </w:p>
    <w:p w14:paraId="183192BE" w14:textId="77777777" w:rsidR="001B523B" w:rsidRDefault="001B523B" w:rsidP="001B523B">
      <w:pPr>
        <w:jc w:val="both"/>
        <w:rPr>
          <w:i/>
          <w:iCs/>
        </w:rPr>
      </w:pPr>
    </w:p>
    <w:p w14:paraId="08794177" w14:textId="78392F4D" w:rsidR="00A70FC6" w:rsidRDefault="00A70FC6" w:rsidP="001B523B">
      <w:pPr>
        <w:jc w:val="both"/>
        <w:rPr>
          <w:i/>
          <w:iCs/>
        </w:rPr>
      </w:pPr>
      <w:r>
        <w:rPr>
          <w:noProof/>
          <w:lang w:eastAsia="nl-NL"/>
        </w:rPr>
        <mc:AlternateContent>
          <mc:Choice Requires="wps">
            <w:drawing>
              <wp:anchor distT="45720" distB="45720" distL="114300" distR="114300" simplePos="0" relativeHeight="251671552" behindDoc="0" locked="0" layoutInCell="1" allowOverlap="1" wp14:anchorId="44D889B2" wp14:editId="42273AB8">
                <wp:simplePos x="0" y="0"/>
                <wp:positionH relativeFrom="margin">
                  <wp:posOffset>0</wp:posOffset>
                </wp:positionH>
                <wp:positionV relativeFrom="paragraph">
                  <wp:posOffset>226060</wp:posOffset>
                </wp:positionV>
                <wp:extent cx="5405119" cy="634364"/>
                <wp:effectExtent l="0" t="0" r="24765" b="26670"/>
                <wp:wrapTopAndBottom/>
                <wp:docPr id="1377446450" name="Tekstvak 1377446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7DA95B2" w14:textId="78FD9CD1" w:rsidR="00A70FC6" w:rsidRPr="002A62AB" w:rsidRDefault="00A70FC6" w:rsidP="00A70FC6">
                            <w:pPr>
                              <w:rPr>
                                <w:b/>
                                <w:bCs/>
                              </w:rPr>
                            </w:pPr>
                            <w:r w:rsidRPr="002A62AB">
                              <w:rPr>
                                <w:b/>
                                <w:bCs/>
                              </w:rPr>
                              <w:t xml:space="preserve">Geef hier aan </w:t>
                            </w:r>
                            <w:r>
                              <w:rPr>
                                <w:b/>
                                <w:bCs/>
                              </w:rPr>
                              <w:t xml:space="preserve">of, en zo ja </w:t>
                            </w:r>
                            <w:r w:rsidRPr="002A62AB">
                              <w:rPr>
                                <w:b/>
                                <w:bCs/>
                              </w:rPr>
                              <w:t>waarom</w:t>
                            </w:r>
                            <w:r>
                              <w:rPr>
                                <w:b/>
                                <w:bCs/>
                              </w:rPr>
                              <w:t>,</w:t>
                            </w:r>
                            <w:r w:rsidRPr="002A62AB">
                              <w:rPr>
                                <w:b/>
                                <w:bCs/>
                              </w:rPr>
                              <w:t xml:space="preserve"> </w:t>
                            </w:r>
                            <w:r>
                              <w:rPr>
                                <w:b/>
                                <w:bCs/>
                              </w:rPr>
                              <w:t xml:space="preserve">wordt voldaan </w:t>
                            </w:r>
                            <w:r w:rsidRPr="002A62AB">
                              <w:rPr>
                                <w:b/>
                                <w:bCs/>
                              </w:rPr>
                              <w:t xml:space="preserve">aan artikel </w:t>
                            </w:r>
                            <w:r>
                              <w:rPr>
                                <w:b/>
                                <w:bCs/>
                              </w:rPr>
                              <w:t>39</w:t>
                            </w:r>
                            <w:r w:rsidRPr="002A62AB">
                              <w:rPr>
                                <w:b/>
                                <w:bCs/>
                              </w:rPr>
                              <w:t xml:space="preserve">, lid </w:t>
                            </w:r>
                            <w:r>
                              <w:rPr>
                                <w:b/>
                                <w:bCs/>
                              </w:rPr>
                              <w:t>10 tot en met lid 12</w:t>
                            </w:r>
                            <w:r w:rsidRPr="002A62AB">
                              <w:rPr>
                                <w:b/>
                                <w:bCs/>
                              </w:rPr>
                              <w:t>:</w:t>
                            </w:r>
                          </w:p>
                          <w:p w14:paraId="27ADACD3" w14:textId="77777777" w:rsidR="00A70FC6" w:rsidRDefault="00A70FC6" w:rsidP="00A70FC6"/>
                          <w:p w14:paraId="4CCBE85A" w14:textId="77777777" w:rsidR="00A70FC6" w:rsidRDefault="00A70FC6" w:rsidP="00A70FC6"/>
                          <w:p w14:paraId="459DAC65" w14:textId="77777777" w:rsidR="00A70FC6" w:rsidRDefault="00A70FC6" w:rsidP="00A70FC6"/>
                          <w:p w14:paraId="4CEB8784" w14:textId="77777777" w:rsidR="00A70FC6" w:rsidRDefault="00A70FC6" w:rsidP="00A70FC6"/>
                          <w:p w14:paraId="02BAB138" w14:textId="77777777" w:rsidR="00A70FC6" w:rsidRDefault="00A70FC6" w:rsidP="00A70FC6"/>
                          <w:p w14:paraId="4F2D51C9" w14:textId="77777777" w:rsidR="00A70FC6" w:rsidRDefault="00A70FC6" w:rsidP="00A70FC6"/>
                          <w:p w14:paraId="18A77ED1" w14:textId="77777777" w:rsidR="00A70FC6" w:rsidRDefault="00A70FC6" w:rsidP="00A70FC6"/>
                          <w:p w14:paraId="6CB8C687" w14:textId="77777777" w:rsidR="00A70FC6" w:rsidRDefault="00A70FC6" w:rsidP="00A70FC6"/>
                          <w:p w14:paraId="07A52880" w14:textId="77777777" w:rsidR="00A70FC6" w:rsidRDefault="00A70FC6" w:rsidP="00A70FC6">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889B2" id="Tekstvak 1377446450" o:spid="_x0000_s1030" type="#_x0000_t202" style="position:absolute;left:0;text-align:left;margin-left:0;margin-top:17.8pt;width:425.6pt;height:49.9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">
                <v:textbox style="mso-fit-shape-to-text:t">
                  <w:txbxContent>
                    <w:p w14:paraId="47DA95B2" w14:textId="78FD9CD1" w:rsidR="00A70FC6" w:rsidRPr="002A62AB" w:rsidRDefault="00A70FC6" w:rsidP="00A70FC6">
                      <w:pPr>
                        <w:rPr>
                          <w:b/>
                          <w:bCs/>
                        </w:rPr>
                      </w:pPr>
                      <w:r w:rsidRPr="002A62AB">
                        <w:rPr>
                          <w:b/>
                          <w:bCs/>
                        </w:rPr>
                        <w:t xml:space="preserve">Geef hier aan </w:t>
                      </w:r>
                      <w:r>
                        <w:rPr>
                          <w:b/>
                          <w:bCs/>
                        </w:rPr>
                        <w:t xml:space="preserve">of, en zo ja </w:t>
                      </w:r>
                      <w:r w:rsidRPr="002A62AB">
                        <w:rPr>
                          <w:b/>
                          <w:bCs/>
                        </w:rPr>
                        <w:t>waarom</w:t>
                      </w:r>
                      <w:r>
                        <w:rPr>
                          <w:b/>
                          <w:bCs/>
                        </w:rPr>
                        <w:t>,</w:t>
                      </w:r>
                      <w:r w:rsidRPr="002A62AB">
                        <w:rPr>
                          <w:b/>
                          <w:bCs/>
                        </w:rPr>
                        <w:t xml:space="preserve"> </w:t>
                      </w:r>
                      <w:r>
                        <w:rPr>
                          <w:b/>
                          <w:bCs/>
                        </w:rPr>
                        <w:t xml:space="preserve">wordt voldaan </w:t>
                      </w:r>
                      <w:r w:rsidRPr="002A62AB">
                        <w:rPr>
                          <w:b/>
                          <w:bCs/>
                        </w:rPr>
                        <w:t xml:space="preserve">aan artikel </w:t>
                      </w:r>
                      <w:r>
                        <w:rPr>
                          <w:b/>
                          <w:bCs/>
                        </w:rPr>
                        <w:t>39</w:t>
                      </w:r>
                      <w:r w:rsidRPr="002A62AB">
                        <w:rPr>
                          <w:b/>
                          <w:bCs/>
                        </w:rPr>
                        <w:t xml:space="preserve">, lid </w:t>
                      </w:r>
                      <w:r>
                        <w:rPr>
                          <w:b/>
                          <w:bCs/>
                        </w:rPr>
                        <w:t>10 tot en met lid 12</w:t>
                      </w:r>
                      <w:r w:rsidRPr="002A62AB">
                        <w:rPr>
                          <w:b/>
                          <w:bCs/>
                        </w:rPr>
                        <w:t>:</w:t>
                      </w:r>
                    </w:p>
                    <w:p w14:paraId="27ADACD3" w14:textId="77777777" w:rsidR="00A70FC6" w:rsidRDefault="00A70FC6" w:rsidP="00A70FC6"/>
                    <w:p w14:paraId="4CCBE85A" w14:textId="77777777" w:rsidR="00A70FC6" w:rsidRDefault="00A70FC6" w:rsidP="00A70FC6"/>
                    <w:p w14:paraId="459DAC65" w14:textId="77777777" w:rsidR="00A70FC6" w:rsidRDefault="00A70FC6" w:rsidP="00A70FC6"/>
                    <w:p w14:paraId="4CEB8784" w14:textId="77777777" w:rsidR="00A70FC6" w:rsidRDefault="00A70FC6" w:rsidP="00A70FC6"/>
                    <w:p w14:paraId="02BAB138" w14:textId="77777777" w:rsidR="00A70FC6" w:rsidRDefault="00A70FC6" w:rsidP="00A70FC6"/>
                    <w:p w14:paraId="4F2D51C9" w14:textId="77777777" w:rsidR="00A70FC6" w:rsidRDefault="00A70FC6" w:rsidP="00A70FC6"/>
                    <w:p w14:paraId="18A77ED1" w14:textId="77777777" w:rsidR="00A70FC6" w:rsidRDefault="00A70FC6" w:rsidP="00A70FC6"/>
                    <w:p w14:paraId="6CB8C687" w14:textId="77777777" w:rsidR="00A70FC6" w:rsidRDefault="00A70FC6" w:rsidP="00A70FC6"/>
                    <w:p w14:paraId="07A52880" w14:textId="77777777" w:rsidR="00A70FC6" w:rsidRDefault="00A70FC6" w:rsidP="00A70FC6">
                      <w:r>
                        <w:t xml:space="preserve">  </w:t>
                      </w:r>
                    </w:p>
                  </w:txbxContent>
                </v:textbox>
                <w10:wrap type="topAndBottom" anchorx="margin"/>
              </v:shape>
            </w:pict>
          </mc:Fallback>
        </mc:AlternateContent>
      </w:r>
    </w:p>
    <w:p w14:paraId="4D8166A3" w14:textId="77777777" w:rsidR="001B523B" w:rsidRDefault="001B523B" w:rsidP="001B523B">
      <w:pPr>
        <w:jc w:val="both"/>
        <w:rPr>
          <w:i/>
          <w:iCs/>
        </w:rPr>
      </w:pPr>
    </w:p>
    <w:p w14:paraId="32310673" w14:textId="45E582A1" w:rsidR="001B523B" w:rsidRDefault="001B523B" w:rsidP="001B523B">
      <w:pPr>
        <w:jc w:val="both"/>
      </w:pPr>
      <w:r w:rsidRPr="00326FA1">
        <w:rPr>
          <w:b/>
          <w:bCs/>
          <w:i/>
          <w:iCs/>
          <w:u w:val="single"/>
        </w:rPr>
        <w:t xml:space="preserve">Art </w:t>
      </w:r>
      <w:r>
        <w:rPr>
          <w:b/>
          <w:bCs/>
          <w:i/>
          <w:iCs/>
          <w:u w:val="single"/>
        </w:rPr>
        <w:t>39</w:t>
      </w:r>
      <w:r w:rsidRPr="00326FA1">
        <w:rPr>
          <w:b/>
          <w:bCs/>
          <w:i/>
          <w:iCs/>
          <w:u w:val="single"/>
        </w:rPr>
        <w:t xml:space="preserve">, lid </w:t>
      </w:r>
      <w:r>
        <w:rPr>
          <w:b/>
          <w:bCs/>
          <w:i/>
          <w:iCs/>
          <w:u w:val="single"/>
        </w:rPr>
        <w:t>13</w:t>
      </w:r>
      <w:r w:rsidRPr="00326FA1">
        <w:rPr>
          <w:b/>
          <w:bCs/>
          <w:i/>
          <w:iCs/>
          <w:u w:val="single"/>
        </w:rPr>
        <w:t>:</w:t>
      </w:r>
    </w:p>
    <w:p w14:paraId="4A8C2183" w14:textId="79277899" w:rsidR="001B523B" w:rsidRDefault="001B523B" w:rsidP="001B523B">
      <w:pPr>
        <w:jc w:val="both"/>
        <w:rPr>
          <w:i/>
          <w:iCs/>
        </w:rPr>
      </w:pPr>
      <w:r w:rsidRPr="001B523B">
        <w:rPr>
          <w:i/>
          <w:iCs/>
        </w:rPr>
        <w:t>Steun voor de installatie van met fossiele brandstoffen gestookte energie-uitrusting, met inbegrip van aardgas, is op grond van dit artikel niet vrijgesteld van de aanmeldingsverplichting van artikel 108, lid 3, van het Verdrag.</w:t>
      </w:r>
    </w:p>
    <w:p w14:paraId="11728406" w14:textId="77777777" w:rsidR="001B523B" w:rsidRDefault="001B523B" w:rsidP="001B523B">
      <w:pPr>
        <w:jc w:val="both"/>
        <w:rPr>
          <w:i/>
          <w:iCs/>
        </w:rPr>
      </w:pPr>
    </w:p>
    <w:p w14:paraId="25EA35D0" w14:textId="77777777" w:rsidR="001B523B" w:rsidRPr="00877340" w:rsidRDefault="001B523B" w:rsidP="001B523B">
      <w:pPr>
        <w:jc w:val="both"/>
      </w:pPr>
      <w:r>
        <w:t xml:space="preserve">Ter kennisname, geen toelichting nodig. </w:t>
      </w:r>
    </w:p>
    <w:p w14:paraId="24A71D1D" w14:textId="77777777" w:rsidR="001B523B" w:rsidRDefault="001B523B" w:rsidP="001B523B">
      <w:pPr>
        <w:jc w:val="both"/>
        <w:rPr>
          <w:i/>
          <w:iCs/>
        </w:rPr>
      </w:pPr>
    </w:p>
    <w:p w14:paraId="55DBB69B" w14:textId="77777777" w:rsidR="001B523B" w:rsidRDefault="001B523B" w:rsidP="001B523B">
      <w:pPr>
        <w:jc w:val="both"/>
        <w:rPr>
          <w:i/>
          <w:iCs/>
        </w:rPr>
      </w:pPr>
    </w:p>
    <w:p w14:paraId="6CF1284D" w14:textId="518B7744" w:rsidR="001B523B" w:rsidRDefault="001B523B" w:rsidP="001B523B">
      <w:pPr>
        <w:jc w:val="both"/>
      </w:pPr>
      <w:r w:rsidRPr="00326FA1">
        <w:rPr>
          <w:b/>
          <w:bCs/>
          <w:i/>
          <w:iCs/>
          <w:u w:val="single"/>
        </w:rPr>
        <w:t xml:space="preserve">Art </w:t>
      </w:r>
      <w:r>
        <w:rPr>
          <w:b/>
          <w:bCs/>
          <w:i/>
          <w:iCs/>
          <w:u w:val="single"/>
        </w:rPr>
        <w:t>39</w:t>
      </w:r>
      <w:r w:rsidRPr="00326FA1">
        <w:rPr>
          <w:b/>
          <w:bCs/>
          <w:i/>
          <w:iCs/>
          <w:u w:val="single"/>
        </w:rPr>
        <w:t xml:space="preserve">, lid </w:t>
      </w:r>
      <w:r>
        <w:rPr>
          <w:b/>
          <w:bCs/>
          <w:i/>
          <w:iCs/>
          <w:u w:val="single"/>
        </w:rPr>
        <w:t>14</w:t>
      </w:r>
      <w:r w:rsidRPr="00326FA1">
        <w:rPr>
          <w:b/>
          <w:bCs/>
          <w:i/>
          <w:iCs/>
          <w:u w:val="single"/>
        </w:rPr>
        <w:t>:</w:t>
      </w:r>
    </w:p>
    <w:p w14:paraId="2D1A373C" w14:textId="3A3E6DC8" w:rsidR="001B523B" w:rsidRDefault="001B523B" w:rsidP="001B523B">
      <w:pPr>
        <w:jc w:val="both"/>
        <w:rPr>
          <w:i/>
          <w:iCs/>
        </w:rPr>
      </w:pPr>
      <w:r w:rsidRPr="001B523B">
        <w:rPr>
          <w:i/>
          <w:iCs/>
        </w:rPr>
        <w:t>De lidstaat kan de uitvoering van de steunmaatregel aan een met het beheer belaste entiteit toewijzen.</w:t>
      </w:r>
    </w:p>
    <w:p w14:paraId="4645392D" w14:textId="77777777" w:rsidR="001B523B" w:rsidRPr="00877340" w:rsidRDefault="001B523B" w:rsidP="001B523B">
      <w:pPr>
        <w:jc w:val="both"/>
      </w:pPr>
      <w:r>
        <w:t xml:space="preserve">Ter kennisname, geen toelichting nodig. </w:t>
      </w:r>
    </w:p>
    <w:p w14:paraId="486C84EF" w14:textId="77777777" w:rsidR="001B523B" w:rsidRDefault="001B523B" w:rsidP="001B523B">
      <w:pPr>
        <w:jc w:val="both"/>
        <w:rPr>
          <w:i/>
          <w:iCs/>
        </w:rPr>
      </w:pPr>
    </w:p>
    <w:p w14:paraId="60BB3718" w14:textId="77777777" w:rsidR="00A70FC6" w:rsidRDefault="00A70FC6" w:rsidP="001B523B">
      <w:pPr>
        <w:jc w:val="both"/>
        <w:rPr>
          <w:i/>
          <w:iCs/>
        </w:rPr>
      </w:pPr>
    </w:p>
    <w:p w14:paraId="7F01A363" w14:textId="77777777" w:rsidR="001B523B" w:rsidRDefault="001B523B" w:rsidP="001B523B">
      <w:pPr>
        <w:jc w:val="both"/>
        <w:rPr>
          <w:i/>
          <w:iCs/>
        </w:rPr>
      </w:pPr>
    </w:p>
    <w:p w14:paraId="70F69297" w14:textId="77777777" w:rsidR="00243465" w:rsidRDefault="00243465" w:rsidP="00E335A0">
      <w:pPr>
        <w:jc w:val="both"/>
        <w:rPr>
          <w:i/>
          <w:iCs/>
        </w:rPr>
      </w:pPr>
    </w:p>
    <w:p w14:paraId="400E8E35" w14:textId="77777777" w:rsidR="001B1401" w:rsidRPr="0036762E" w:rsidRDefault="001B1401" w:rsidP="00E335A0">
      <w:pPr>
        <w:jc w:val="both"/>
      </w:pPr>
    </w:p>
    <w:sectPr w:rsidR="001B1401" w:rsidRPr="0036762E"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2611" w14:textId="77777777" w:rsidR="006D505F" w:rsidRDefault="006D50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0359" w14:textId="15127474" w:rsidR="00E334E4" w:rsidRDefault="00E334E4" w:rsidP="00E334E4">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271FE800" wp14:editId="22499A69">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4" name="Afbeelding 4"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0C7780">
      <w:rPr>
        <w:rFonts w:asciiTheme="minorHAnsi" w:hAnsiTheme="minorHAnsi" w:cstheme="minorHAnsi"/>
        <w:b/>
        <w:bCs/>
        <w:color w:val="004A99"/>
      </w:rPr>
      <w:t>JTF</w:t>
    </w:r>
    <w:r>
      <w:rPr>
        <w:rFonts w:asciiTheme="minorHAnsi" w:hAnsiTheme="minorHAnsi" w:cstheme="minorHAnsi"/>
        <w:b/>
        <w:bCs/>
        <w:color w:val="004A99"/>
      </w:rPr>
      <w:t xml:space="preserve"> 2021-2027</w:t>
    </w:r>
  </w:p>
  <w:p w14:paraId="65CC2ACC" w14:textId="77777777" w:rsidR="006D505F" w:rsidRPr="00E334E4" w:rsidRDefault="006D505F" w:rsidP="00E334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1ECF" w14:textId="77777777" w:rsidR="006D505F" w:rsidRDefault="006D50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0C7780"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4811" w14:textId="77777777" w:rsidR="006D505F" w:rsidRDefault="006D50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F9E9" w14:textId="77777777" w:rsidR="006D505F" w:rsidRDefault="006D50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5449" w14:textId="77777777" w:rsidR="006D505F" w:rsidRDefault="006D50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8859935">
    <w:abstractNumId w:val="7"/>
  </w:num>
  <w:num w:numId="2" w16cid:durableId="1003818605">
    <w:abstractNumId w:val="3"/>
  </w:num>
  <w:num w:numId="3" w16cid:durableId="1439641271">
    <w:abstractNumId w:val="11"/>
  </w:num>
  <w:num w:numId="4" w16cid:durableId="2145734709">
    <w:abstractNumId w:val="6"/>
  </w:num>
  <w:num w:numId="5" w16cid:durableId="103110913">
    <w:abstractNumId w:val="0"/>
  </w:num>
  <w:num w:numId="6" w16cid:durableId="832646820">
    <w:abstractNumId w:val="10"/>
  </w:num>
  <w:num w:numId="7" w16cid:durableId="1464233862">
    <w:abstractNumId w:val="1"/>
  </w:num>
  <w:num w:numId="8" w16cid:durableId="1020814375">
    <w:abstractNumId w:val="8"/>
  </w:num>
  <w:num w:numId="9" w16cid:durableId="614024691">
    <w:abstractNumId w:val="5"/>
  </w:num>
  <w:num w:numId="10" w16cid:durableId="1235554600">
    <w:abstractNumId w:val="6"/>
  </w:num>
  <w:num w:numId="11" w16cid:durableId="211311609">
    <w:abstractNumId w:val="6"/>
  </w:num>
  <w:num w:numId="12" w16cid:durableId="963970965">
    <w:abstractNumId w:val="2"/>
  </w:num>
  <w:num w:numId="13" w16cid:durableId="1075206224">
    <w:abstractNumId w:val="4"/>
  </w:num>
  <w:num w:numId="14" w16cid:durableId="812604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734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72673"/>
    <w:rsid w:val="000C7780"/>
    <w:rsid w:val="000D1C37"/>
    <w:rsid w:val="000D3E45"/>
    <w:rsid w:val="000F3550"/>
    <w:rsid w:val="00102CAF"/>
    <w:rsid w:val="00102D36"/>
    <w:rsid w:val="00110A65"/>
    <w:rsid w:val="00122AC9"/>
    <w:rsid w:val="001248A8"/>
    <w:rsid w:val="001955D0"/>
    <w:rsid w:val="00197612"/>
    <w:rsid w:val="001B1401"/>
    <w:rsid w:val="001B523B"/>
    <w:rsid w:val="001B5BF7"/>
    <w:rsid w:val="001C405B"/>
    <w:rsid w:val="001C517A"/>
    <w:rsid w:val="001D03DE"/>
    <w:rsid w:val="00201945"/>
    <w:rsid w:val="00211907"/>
    <w:rsid w:val="00243465"/>
    <w:rsid w:val="00267E3F"/>
    <w:rsid w:val="0028560D"/>
    <w:rsid w:val="002A40B7"/>
    <w:rsid w:val="002C2F73"/>
    <w:rsid w:val="002D7EE3"/>
    <w:rsid w:val="003408E8"/>
    <w:rsid w:val="00342CCF"/>
    <w:rsid w:val="0036762E"/>
    <w:rsid w:val="003812AF"/>
    <w:rsid w:val="003849F9"/>
    <w:rsid w:val="003950D3"/>
    <w:rsid w:val="003A2066"/>
    <w:rsid w:val="003C0901"/>
    <w:rsid w:val="003D6486"/>
    <w:rsid w:val="003E7837"/>
    <w:rsid w:val="00406012"/>
    <w:rsid w:val="004138C8"/>
    <w:rsid w:val="0042793D"/>
    <w:rsid w:val="00447DEC"/>
    <w:rsid w:val="00452EBF"/>
    <w:rsid w:val="00454CF1"/>
    <w:rsid w:val="004622C9"/>
    <w:rsid w:val="00465D20"/>
    <w:rsid w:val="00486687"/>
    <w:rsid w:val="0049647A"/>
    <w:rsid w:val="004C76F8"/>
    <w:rsid w:val="004D55F1"/>
    <w:rsid w:val="004D7111"/>
    <w:rsid w:val="004F5704"/>
    <w:rsid w:val="00524790"/>
    <w:rsid w:val="005258BA"/>
    <w:rsid w:val="005471E0"/>
    <w:rsid w:val="00571B15"/>
    <w:rsid w:val="00571B71"/>
    <w:rsid w:val="005831C5"/>
    <w:rsid w:val="005C7979"/>
    <w:rsid w:val="005E6B57"/>
    <w:rsid w:val="005F161A"/>
    <w:rsid w:val="005F34FE"/>
    <w:rsid w:val="005F60F6"/>
    <w:rsid w:val="00616259"/>
    <w:rsid w:val="00621815"/>
    <w:rsid w:val="00627D64"/>
    <w:rsid w:val="00630F0B"/>
    <w:rsid w:val="006571CE"/>
    <w:rsid w:val="00672120"/>
    <w:rsid w:val="00685E27"/>
    <w:rsid w:val="006A53D1"/>
    <w:rsid w:val="006D3559"/>
    <w:rsid w:val="006D505F"/>
    <w:rsid w:val="006F05CC"/>
    <w:rsid w:val="006F631B"/>
    <w:rsid w:val="007045B8"/>
    <w:rsid w:val="0070659C"/>
    <w:rsid w:val="00725A15"/>
    <w:rsid w:val="0075030E"/>
    <w:rsid w:val="007840F7"/>
    <w:rsid w:val="007D1CA1"/>
    <w:rsid w:val="007E1ED2"/>
    <w:rsid w:val="007F5D2B"/>
    <w:rsid w:val="00822991"/>
    <w:rsid w:val="00834F47"/>
    <w:rsid w:val="008418FE"/>
    <w:rsid w:val="0087085C"/>
    <w:rsid w:val="00877340"/>
    <w:rsid w:val="00881667"/>
    <w:rsid w:val="008858B5"/>
    <w:rsid w:val="00893CDE"/>
    <w:rsid w:val="00897528"/>
    <w:rsid w:val="008C4B99"/>
    <w:rsid w:val="00912F32"/>
    <w:rsid w:val="009226F1"/>
    <w:rsid w:val="00925438"/>
    <w:rsid w:val="009436D9"/>
    <w:rsid w:val="00995CA7"/>
    <w:rsid w:val="00996F85"/>
    <w:rsid w:val="009D5089"/>
    <w:rsid w:val="00A01C22"/>
    <w:rsid w:val="00A30351"/>
    <w:rsid w:val="00A42DDE"/>
    <w:rsid w:val="00A50BB8"/>
    <w:rsid w:val="00A70FC6"/>
    <w:rsid w:val="00A76A29"/>
    <w:rsid w:val="00AA0D64"/>
    <w:rsid w:val="00AC7021"/>
    <w:rsid w:val="00AF6D7F"/>
    <w:rsid w:val="00B216D8"/>
    <w:rsid w:val="00B44F8C"/>
    <w:rsid w:val="00B51362"/>
    <w:rsid w:val="00B83C70"/>
    <w:rsid w:val="00B85438"/>
    <w:rsid w:val="00BA3684"/>
    <w:rsid w:val="00BB0726"/>
    <w:rsid w:val="00BB6462"/>
    <w:rsid w:val="00BB7A6C"/>
    <w:rsid w:val="00BC7B2C"/>
    <w:rsid w:val="00C344BC"/>
    <w:rsid w:val="00C72E38"/>
    <w:rsid w:val="00C80912"/>
    <w:rsid w:val="00C93E9E"/>
    <w:rsid w:val="00CD1E0D"/>
    <w:rsid w:val="00D1255B"/>
    <w:rsid w:val="00D548EE"/>
    <w:rsid w:val="00D7141E"/>
    <w:rsid w:val="00D842D8"/>
    <w:rsid w:val="00D95557"/>
    <w:rsid w:val="00DA27F6"/>
    <w:rsid w:val="00DA6C3D"/>
    <w:rsid w:val="00DB5269"/>
    <w:rsid w:val="00DD409F"/>
    <w:rsid w:val="00E005DA"/>
    <w:rsid w:val="00E01953"/>
    <w:rsid w:val="00E161A6"/>
    <w:rsid w:val="00E334E4"/>
    <w:rsid w:val="00E335A0"/>
    <w:rsid w:val="00E43808"/>
    <w:rsid w:val="00E7133A"/>
    <w:rsid w:val="00E7563F"/>
    <w:rsid w:val="00E76240"/>
    <w:rsid w:val="00E921F4"/>
    <w:rsid w:val="00EC2A89"/>
    <w:rsid w:val="00EE515E"/>
    <w:rsid w:val="00EF4900"/>
    <w:rsid w:val="00EF6D49"/>
    <w:rsid w:val="00EF7C8B"/>
    <w:rsid w:val="00F13C3C"/>
    <w:rsid w:val="00F23A27"/>
    <w:rsid w:val="00F5399E"/>
    <w:rsid w:val="00F55147"/>
    <w:rsid w:val="00F600BE"/>
    <w:rsid w:val="00F953EF"/>
    <w:rsid w:val="00FA3B14"/>
    <w:rsid w:val="00FA4F00"/>
    <w:rsid w:val="00FB0384"/>
    <w:rsid w:val="00FB3AB1"/>
    <w:rsid w:val="00FB42F5"/>
    <w:rsid w:val="00FD3202"/>
    <w:rsid w:val="00FD5610"/>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1B1401"/>
    <w:rPr>
      <w:sz w:val="16"/>
      <w:szCs w:val="16"/>
    </w:rPr>
  </w:style>
  <w:style w:type="paragraph" w:styleId="Tekstopmerking">
    <w:name w:val="annotation text"/>
    <w:basedOn w:val="Standaard"/>
    <w:link w:val="TekstopmerkingChar"/>
    <w:uiPriority w:val="99"/>
    <w:semiHidden/>
    <w:unhideWhenUsed/>
    <w:rsid w:val="001B1401"/>
    <w:pPr>
      <w:spacing w:line="240" w:lineRule="auto"/>
    </w:pPr>
    <w:rPr>
      <w:szCs w:val="20"/>
    </w:rPr>
  </w:style>
  <w:style w:type="character" w:customStyle="1" w:styleId="TekstopmerkingChar">
    <w:name w:val="Tekst opmerking Char"/>
    <w:basedOn w:val="Standaardalinea-lettertype"/>
    <w:link w:val="Tekstopmerking"/>
    <w:uiPriority w:val="99"/>
    <w:semiHidden/>
    <w:rsid w:val="001B1401"/>
    <w:rPr>
      <w:szCs w:val="20"/>
    </w:rPr>
  </w:style>
  <w:style w:type="paragraph" w:styleId="Onderwerpvanopmerking">
    <w:name w:val="annotation subject"/>
    <w:basedOn w:val="Tekstopmerking"/>
    <w:next w:val="Tekstopmerking"/>
    <w:link w:val="OnderwerpvanopmerkingChar"/>
    <w:uiPriority w:val="99"/>
    <w:semiHidden/>
    <w:unhideWhenUsed/>
    <w:rsid w:val="001B1401"/>
    <w:rPr>
      <w:b/>
      <w:bCs/>
    </w:rPr>
  </w:style>
  <w:style w:type="character" w:customStyle="1" w:styleId="OnderwerpvanopmerkingChar">
    <w:name w:val="Onderwerp van opmerking Char"/>
    <w:basedOn w:val="TekstopmerkingChar"/>
    <w:link w:val="Onderwerpvanopmerking"/>
    <w:uiPriority w:val="99"/>
    <w:semiHidden/>
    <w:rsid w:val="001B1401"/>
    <w:rPr>
      <w:b/>
      <w:bCs/>
      <w:szCs w:val="20"/>
    </w:rPr>
  </w:style>
  <w:style w:type="paragraph" w:styleId="Revisie">
    <w:name w:val="Revision"/>
    <w:hidden/>
    <w:uiPriority w:val="99"/>
    <w:semiHidden/>
    <w:rsid w:val="001B1401"/>
    <w:pPr>
      <w:spacing w:line="240" w:lineRule="auto"/>
      <w:ind w:left="0" w:firstLine="0"/>
    </w:pPr>
  </w:style>
  <w:style w:type="character" w:styleId="Hyperlink">
    <w:name w:val="Hyperlink"/>
    <w:basedOn w:val="Standaardalinea-lettertype"/>
    <w:uiPriority w:val="99"/>
    <w:unhideWhenUsed/>
    <w:rsid w:val="00A42DDE"/>
    <w:rPr>
      <w:color w:val="0000FF"/>
      <w:u w:val="single"/>
    </w:rPr>
  </w:style>
  <w:style w:type="character" w:styleId="GevolgdeHyperlink">
    <w:name w:val="FollowedHyperlink"/>
    <w:basedOn w:val="Standaardalinea-lettertype"/>
    <w:uiPriority w:val="99"/>
    <w:semiHidden/>
    <w:unhideWhenUsed/>
    <w:rsid w:val="0070659C"/>
    <w:rPr>
      <w:color w:val="954F72" w:themeColor="followedHyperlink"/>
      <w:u w:val="single"/>
    </w:rPr>
  </w:style>
  <w:style w:type="paragraph" w:styleId="Koptekst">
    <w:name w:val="header"/>
    <w:basedOn w:val="Standaard"/>
    <w:link w:val="KoptekstChar"/>
    <w:uiPriority w:val="99"/>
    <w:unhideWhenUsed/>
    <w:rsid w:val="006D505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5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85342">
      <w:bodyDiv w:val="1"/>
      <w:marLeft w:val="0"/>
      <w:marRight w:val="0"/>
      <w:marTop w:val="0"/>
      <w:marBottom w:val="0"/>
      <w:divBdr>
        <w:top w:val="none" w:sz="0" w:space="0" w:color="auto"/>
        <w:left w:val="none" w:sz="0" w:space="0" w:color="auto"/>
        <w:bottom w:val="none" w:sz="0" w:space="0" w:color="auto"/>
        <w:right w:val="none" w:sz="0" w:space="0" w:color="auto"/>
      </w:divBdr>
    </w:div>
    <w:div w:id="1727678875">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Props1.xml><?xml version="1.0" encoding="utf-8"?>
<ds:datastoreItem xmlns:ds="http://schemas.openxmlformats.org/officeDocument/2006/customXml" ds:itemID="{7B9E3305-A39F-4145-966C-76F368C0777E}">
  <ds:schemaRefs>
    <ds:schemaRef ds:uri="http://schemas.openxmlformats.org/officeDocument/2006/bibliography"/>
  </ds:schemaRefs>
</ds:datastoreItem>
</file>

<file path=customXml/itemProps2.xml><?xml version="1.0" encoding="utf-8"?>
<ds:datastoreItem xmlns:ds="http://schemas.openxmlformats.org/officeDocument/2006/customXml" ds:itemID="{A989D719-4E47-4FF6-93D4-B77478C9CD44}"/>
</file>

<file path=customXml/itemProps3.xml><?xml version="1.0" encoding="utf-8"?>
<ds:datastoreItem xmlns:ds="http://schemas.openxmlformats.org/officeDocument/2006/customXml" ds:itemID="{F9720FFD-14C6-4B40-A385-4E1133FFD9EA}">
  <ds:schemaRefs>
    <ds:schemaRef ds:uri="http://schemas.microsoft.com/sharepoint/v3/contenttype/forms"/>
  </ds:schemaRefs>
</ds:datastoreItem>
</file>

<file path=customXml/itemProps4.xml><?xml version="1.0" encoding="utf-8"?>
<ds:datastoreItem xmlns:ds="http://schemas.openxmlformats.org/officeDocument/2006/customXml" ds:itemID="{8A0A4B91-6DF0-4F0A-94B7-E3F1C5D81635}">
  <ds:schemaRefs>
    <ds:schemaRef ds:uri="http://schemas.microsoft.com/office/2006/metadata/properties"/>
    <ds:schemaRef ds:uri="http://schemas.microsoft.com/office/infopath/2007/PartnerControls"/>
    <ds:schemaRef ds:uri="3251086a-4173-45aa-a638-81eb6a300a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1799</Words>
  <Characters>9897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2023-10-03T10:48:00Z</dcterms:created>
  <dcterms:modified xsi:type="dcterms:W3CDTF">2023-10-18T07:38:00Z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