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0EB2" w14:textId="4580033E" w:rsidR="00102CAF" w:rsidRDefault="0070700F" w:rsidP="00102CAF">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40: s</w:t>
      </w:r>
      <w:r w:rsidRPr="0070700F">
        <w:rPr>
          <w:b/>
          <w:bCs/>
          <w:sz w:val="24"/>
          <w:szCs w:val="24"/>
        </w:rPr>
        <w:t xml:space="preserve">teun </w:t>
      </w:r>
      <w:r>
        <w:rPr>
          <w:b/>
          <w:bCs/>
          <w:sz w:val="24"/>
          <w:szCs w:val="24"/>
        </w:rPr>
        <w:t xml:space="preserve">voor </w:t>
      </w:r>
      <w:r w:rsidRPr="0070700F">
        <w:rPr>
          <w:b/>
          <w:bCs/>
          <w:sz w:val="24"/>
          <w:szCs w:val="24"/>
        </w:rPr>
        <w:t>hoogrenderende warmtekrachtkoppeling</w:t>
      </w:r>
      <w:r>
        <w:rPr>
          <w:rFonts w:ascii="EUAlbertina-Bold" w:hAnsi="EUAlbertina-Bold" w:cs="EUAlbertina-Bold"/>
          <w:b/>
          <w:bCs/>
          <w:sz w:val="19"/>
          <w:szCs w:val="19"/>
        </w:rPr>
        <w:br/>
      </w:r>
    </w:p>
    <w:p w14:paraId="4D1DAA4F" w14:textId="2909CAC3" w:rsidR="00102CAF" w:rsidRDefault="00102CAF" w:rsidP="00102CAF"/>
    <w:p w14:paraId="527C8021" w14:textId="77777777" w:rsidR="0070700F" w:rsidRPr="00615E39" w:rsidRDefault="0070700F" w:rsidP="0070700F">
      <w:pPr>
        <w:rPr>
          <w:b/>
          <w:bCs/>
          <w:u w:val="single"/>
        </w:rPr>
      </w:pPr>
      <w:bookmarkStart w:id="1" w:name="_Hlk87386336"/>
      <w:r w:rsidRPr="00615E39">
        <w:rPr>
          <w:b/>
          <w:bCs/>
          <w:u w:val="single"/>
        </w:rPr>
        <w:t>Inleiding</w:t>
      </w:r>
    </w:p>
    <w:p w14:paraId="0D4C4384" w14:textId="77777777" w:rsidR="0070700F" w:rsidRPr="00495FA1" w:rsidRDefault="0070700F" w:rsidP="00C45078">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 xml:space="preserve">(AGVV). </w:t>
      </w:r>
    </w:p>
    <w:p w14:paraId="41C6C40B" w14:textId="77777777" w:rsidR="0070700F" w:rsidRPr="00495FA1" w:rsidRDefault="0070700F" w:rsidP="00C45078">
      <w:pPr>
        <w:jc w:val="both"/>
      </w:pPr>
    </w:p>
    <w:p w14:paraId="1D82814A" w14:textId="77777777" w:rsidR="00C45078" w:rsidRDefault="0070700F" w:rsidP="00C45078">
      <w:pPr>
        <w:jc w:val="both"/>
      </w:pPr>
      <w:r w:rsidRPr="00495FA1">
        <w:t>Eén van de artikelen die gebruikt k</w:t>
      </w:r>
      <w:r>
        <w:t>an</w:t>
      </w:r>
      <w:r w:rsidRPr="00495FA1">
        <w:t xml:space="preserve"> worden is artikel </w:t>
      </w:r>
      <w:r>
        <w:t>40</w:t>
      </w:r>
      <w:r w:rsidRPr="00495FA1">
        <w:t xml:space="preserve">. Dit artikel gaat over </w:t>
      </w:r>
      <w:r w:rsidR="006E7D69">
        <w:t>investeringssteun ten behoeve van hoogrenderende warmtekrachtkoppeling</w:t>
      </w:r>
      <w:r w:rsidR="00C45078">
        <w:t>.</w:t>
      </w:r>
    </w:p>
    <w:p w14:paraId="015BB078" w14:textId="32A6AEED" w:rsidR="0070700F" w:rsidRDefault="0070700F" w:rsidP="00C45078">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40</w:t>
      </w:r>
      <w:r w:rsidRPr="00495FA1">
        <w:t xml:space="preserve">, aan te geven waarom het project voldoet aan de gestelde voorwaarden. </w:t>
      </w:r>
      <w:r>
        <w:br/>
      </w:r>
    </w:p>
    <w:p w14:paraId="358D903C" w14:textId="77777777" w:rsidR="0070700F" w:rsidRDefault="0070700F" w:rsidP="00C45078">
      <w:pPr>
        <w:jc w:val="both"/>
      </w:pPr>
      <w:r>
        <w:t xml:space="preserve">Let op: u geeft een toelichting in de tekstblokken.  </w:t>
      </w:r>
    </w:p>
    <w:bookmarkEnd w:id="1"/>
    <w:p w14:paraId="0EE9116C" w14:textId="2C58360C" w:rsidR="0070700F" w:rsidRDefault="0070700F" w:rsidP="00C45078">
      <w:pPr>
        <w:jc w:val="both"/>
      </w:pPr>
    </w:p>
    <w:p w14:paraId="265764C5" w14:textId="77777777" w:rsidR="003C63CD" w:rsidRDefault="003C63CD" w:rsidP="00C45078">
      <w:pPr>
        <w:jc w:val="both"/>
      </w:pPr>
    </w:p>
    <w:p w14:paraId="4C02B17F" w14:textId="1FEE67F7" w:rsidR="0070700F" w:rsidRDefault="0070700F" w:rsidP="00C45078">
      <w:pPr>
        <w:jc w:val="both"/>
        <w:rPr>
          <w:i/>
          <w:iCs/>
        </w:rPr>
      </w:pPr>
      <w:bookmarkStart w:id="3" w:name="_Hlk87387140"/>
      <w:r w:rsidRPr="00326FA1">
        <w:rPr>
          <w:b/>
          <w:bCs/>
          <w:i/>
          <w:iCs/>
          <w:u w:val="single"/>
        </w:rPr>
        <w:t xml:space="preserve">Art </w:t>
      </w:r>
      <w:r>
        <w:rPr>
          <w:b/>
          <w:bCs/>
          <w:i/>
          <w:iCs/>
          <w:u w:val="single"/>
        </w:rPr>
        <w:t>40</w:t>
      </w:r>
      <w:r w:rsidRPr="00326FA1">
        <w:rPr>
          <w:b/>
          <w:bCs/>
          <w:i/>
          <w:iCs/>
          <w:u w:val="single"/>
        </w:rPr>
        <w:t>, lid 1:</w:t>
      </w:r>
      <w:bookmarkEnd w:id="3"/>
    </w:p>
    <w:p w14:paraId="63158127" w14:textId="0DBA28DC" w:rsidR="00102CAF" w:rsidRPr="005F161A" w:rsidRDefault="005B74F1" w:rsidP="00C45078">
      <w:pPr>
        <w:jc w:val="both"/>
        <w:rPr>
          <w:i/>
          <w:iCs/>
        </w:rPr>
      </w:pPr>
      <w:r w:rsidRPr="005B74F1">
        <w:rPr>
          <w:i/>
          <w:iCs/>
        </w:rPr>
        <w:t>Investeringssteun ten behoeve van hoogrenderende warmtekrachtkoppeling is verenigbaar met de interne markt in de zin van artikel 107, lid 3, van het Verdrag en is van de aanmeldingsverplichting van artikel 108, lid 3, van het Verdrag vrijgesteld, mits de in dit artikel en in hoofdstuk I vastgestelde voorwaarden zijn vervuld.</w:t>
      </w:r>
    </w:p>
    <w:p w14:paraId="781E20C9" w14:textId="6D9F0102" w:rsidR="0070700F" w:rsidRDefault="0070700F" w:rsidP="00102CAF"/>
    <w:p w14:paraId="07F68DAF" w14:textId="2D0D75D6" w:rsidR="00004F1B" w:rsidRPr="00004F1B" w:rsidRDefault="00004F1B" w:rsidP="00102CAF">
      <w:pPr>
        <w:rPr>
          <w:b/>
          <w:bCs/>
        </w:rPr>
      </w:pPr>
      <w:r w:rsidRPr="00004F1B">
        <w:rPr>
          <w:b/>
          <w:bCs/>
        </w:rPr>
        <w:t>Toelichting:</w:t>
      </w:r>
    </w:p>
    <w:p w14:paraId="3A437B9C" w14:textId="77777777" w:rsidR="00004F1B" w:rsidRDefault="00004F1B" w:rsidP="00C45078">
      <w:pPr>
        <w:jc w:val="both"/>
      </w:pPr>
      <w:r>
        <w:t>In de AGVV worden de volgende definities voor (hoogrenderende) warmtekrachtkoppeling gegeven:</w:t>
      </w:r>
      <w:r>
        <w:br/>
      </w:r>
    </w:p>
    <w:p w14:paraId="49E9E9CF" w14:textId="77777777" w:rsidR="00004F1B" w:rsidRDefault="00004F1B" w:rsidP="00C45078">
      <w:pPr>
        <w:pStyle w:val="Lijstalinea"/>
        <w:numPr>
          <w:ilvl w:val="0"/>
          <w:numId w:val="15"/>
        </w:numPr>
        <w:ind w:left="142" w:hanging="142"/>
        <w:jc w:val="both"/>
      </w:pPr>
      <w:r>
        <w:t>“</w:t>
      </w:r>
      <w:r w:rsidRPr="003C63CD">
        <w:t>hoogrenderende warmtekrachtkoppeling”: warmtekrachtkoppeling die voldoet aan de definitie van hoogrenderende warmtekrachtkoppeling als bedoeld in artikel 2, punt 34, van Richtlijn 2012/27/EU van het Europees Parlement en de Raad van 25 oktober 2012 betreffende energie-efficiëntie, tot wijziging van Richtlijnen 2009/125/EG en 2010/30/EU en houdende intrekking van de Richtlijnen 2004/8/EG en 2006/32/EG</w:t>
      </w:r>
      <w:r>
        <w:t xml:space="preserve"> (artikel 2, punt 107).</w:t>
      </w:r>
    </w:p>
    <w:p w14:paraId="2DBB97BF" w14:textId="77777777" w:rsidR="00004F1B" w:rsidRDefault="00004F1B" w:rsidP="00C45078">
      <w:pPr>
        <w:pStyle w:val="Lijstalinea"/>
        <w:numPr>
          <w:ilvl w:val="0"/>
          <w:numId w:val="15"/>
        </w:numPr>
        <w:ind w:left="142" w:hanging="142"/>
        <w:jc w:val="both"/>
      </w:pPr>
      <w:r>
        <w:t>“</w:t>
      </w:r>
      <w:r w:rsidRPr="003C63CD">
        <w:t>warmtekrachtkoppeling” (wkk): gelijktijdige opwekking in één proces van thermische energie en elektrische en/of mechanische energie</w:t>
      </w:r>
      <w:r>
        <w:t xml:space="preserve"> (artikel 2, punt 108).</w:t>
      </w:r>
    </w:p>
    <w:p w14:paraId="786E4B16" w14:textId="782A9A14" w:rsidR="00004F1B" w:rsidRDefault="00004F1B" w:rsidP="00C45078">
      <w:pPr>
        <w:jc w:val="both"/>
      </w:pPr>
    </w:p>
    <w:p w14:paraId="1565F79D" w14:textId="03D90FBD" w:rsidR="009F6E38" w:rsidRPr="009F6E38" w:rsidRDefault="009F6E38" w:rsidP="009F6E38"/>
    <w:p w14:paraId="393D8700" w14:textId="0870CD77" w:rsidR="009F6E38" w:rsidRPr="009F6E38" w:rsidRDefault="009F6E38" w:rsidP="009F6E38"/>
    <w:p w14:paraId="6A870620" w14:textId="5902E6CB" w:rsidR="009F6E38" w:rsidRPr="009F6E38" w:rsidRDefault="009F6E38" w:rsidP="009F6E38"/>
    <w:p w14:paraId="5F5CEC89" w14:textId="0AEB281A" w:rsidR="009F6E38" w:rsidRPr="009F6E38" w:rsidRDefault="009F6E38" w:rsidP="009F6E38"/>
    <w:p w14:paraId="7A6E293C" w14:textId="6F30E10C" w:rsidR="009F6E38" w:rsidRPr="009F6E38" w:rsidRDefault="009F6E38" w:rsidP="009F6E38"/>
    <w:p w14:paraId="41368C1C" w14:textId="64A9E6A9" w:rsidR="009F6E38" w:rsidRPr="009F6E38" w:rsidRDefault="009F6E38" w:rsidP="009F6E38"/>
    <w:p w14:paraId="6502CF16" w14:textId="37CF7C33" w:rsidR="009F6E38" w:rsidRPr="009F6E38" w:rsidRDefault="009F6E38" w:rsidP="009F6E38"/>
    <w:p w14:paraId="2DDC7803" w14:textId="7DF4C980" w:rsidR="009F6E38" w:rsidRPr="009F6E38" w:rsidRDefault="009F6E38" w:rsidP="009F6E38"/>
    <w:p w14:paraId="32E33F78" w14:textId="53069DC2" w:rsidR="009F6E38" w:rsidRPr="009F6E38" w:rsidRDefault="009F6E38" w:rsidP="009F6E38"/>
    <w:p w14:paraId="3FDEFA09" w14:textId="682B0DF3" w:rsidR="009F6E38" w:rsidRPr="009F6E38" w:rsidRDefault="009F6E38" w:rsidP="009F6E38"/>
    <w:p w14:paraId="56C30595" w14:textId="12BA0AF6" w:rsidR="009F6E38" w:rsidRPr="009F6E38" w:rsidRDefault="009F6E38" w:rsidP="009F6E38"/>
    <w:p w14:paraId="06432D14" w14:textId="5A250419" w:rsidR="009F6E38" w:rsidRPr="009F6E38" w:rsidRDefault="009F6E38" w:rsidP="009F6E38">
      <w:pPr>
        <w:tabs>
          <w:tab w:val="left" w:pos="1280"/>
        </w:tabs>
      </w:pPr>
      <w:r>
        <w:tab/>
      </w:r>
    </w:p>
    <w:p w14:paraId="368DF34F" w14:textId="5FC20108" w:rsidR="00EB3E63" w:rsidRDefault="00EB3E63" w:rsidP="00C45078">
      <w:pPr>
        <w:jc w:val="both"/>
      </w:pPr>
      <w:r>
        <w:rPr>
          <w:noProof/>
          <w:lang w:eastAsia="nl-NL"/>
        </w:rPr>
        <w:lastRenderedPageBreak/>
        <mc:AlternateContent>
          <mc:Choice Requires="wps">
            <w:drawing>
              <wp:anchor distT="45720" distB="45720" distL="114300" distR="114300" simplePos="0" relativeHeight="251665408" behindDoc="0" locked="0" layoutInCell="1" allowOverlap="1" wp14:anchorId="30AE7908" wp14:editId="3065FBAD">
                <wp:simplePos x="0" y="0"/>
                <wp:positionH relativeFrom="margin">
                  <wp:posOffset>0</wp:posOffset>
                </wp:positionH>
                <wp:positionV relativeFrom="paragraph">
                  <wp:posOffset>222885</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EBBE88D" w14:textId="0E52255A" w:rsidR="00EB3E63" w:rsidRPr="002A62AB" w:rsidRDefault="00EB3E63" w:rsidP="00EB3E63">
                            <w:pPr>
                              <w:jc w:val="both"/>
                              <w:rPr>
                                <w:b/>
                                <w:bCs/>
                              </w:rPr>
                            </w:pPr>
                            <w:r w:rsidRPr="002A62AB">
                              <w:rPr>
                                <w:b/>
                                <w:bCs/>
                              </w:rPr>
                              <w:t xml:space="preserve">Geef hier </w:t>
                            </w:r>
                            <w:r>
                              <w:rPr>
                                <w:b/>
                                <w:bCs/>
                              </w:rPr>
                              <w:t xml:space="preserve">aan waarom sprake is van een </w:t>
                            </w:r>
                            <w:r w:rsidRPr="00EB3E63">
                              <w:rPr>
                                <w:b/>
                                <w:bCs/>
                              </w:rPr>
                              <w:t xml:space="preserve">hoogrenderende warmtekrachtkoppeling </w:t>
                            </w:r>
                            <w:r>
                              <w:rPr>
                                <w:b/>
                                <w:bCs/>
                              </w:rPr>
                              <w:t>conform bovenstaande definitie</w:t>
                            </w:r>
                            <w:r w:rsidRPr="002A62AB">
                              <w:rPr>
                                <w:b/>
                                <w:bCs/>
                              </w:rPr>
                              <w:t>:</w:t>
                            </w:r>
                          </w:p>
                          <w:p w14:paraId="09D554AC" w14:textId="77777777" w:rsidR="00EB3E63" w:rsidRDefault="00EB3E63" w:rsidP="00EB3E63"/>
                          <w:p w14:paraId="581E103E" w14:textId="77777777" w:rsidR="00EB3E63" w:rsidRDefault="00EB3E63" w:rsidP="00EB3E63"/>
                          <w:p w14:paraId="1461F87D" w14:textId="77777777" w:rsidR="00EB3E63" w:rsidRDefault="00EB3E63" w:rsidP="00EB3E63"/>
                          <w:p w14:paraId="0D867E59" w14:textId="77777777" w:rsidR="00EB3E63" w:rsidRDefault="00EB3E63" w:rsidP="00EB3E63"/>
                          <w:p w14:paraId="7BA9D2E0" w14:textId="77777777" w:rsidR="00EB3E63" w:rsidRDefault="00EB3E63" w:rsidP="00EB3E63"/>
                          <w:p w14:paraId="3D0BE492" w14:textId="77777777" w:rsidR="00EB3E63" w:rsidRDefault="00EB3E63" w:rsidP="00EB3E63"/>
                          <w:p w14:paraId="0C4C7EFF" w14:textId="77777777" w:rsidR="00EB3E63" w:rsidRDefault="00EB3E63" w:rsidP="00EB3E63"/>
                          <w:p w14:paraId="6DB0BAD3" w14:textId="77777777" w:rsidR="00EB3E63" w:rsidRDefault="00EB3E63" w:rsidP="00EB3E63"/>
                          <w:p w14:paraId="2FFC27B7" w14:textId="77777777" w:rsidR="00EB3E63" w:rsidRDefault="00EB3E63" w:rsidP="00EB3E63">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E7908" id="_x0000_t202" coordsize="21600,21600" o:spt="202" path="m,l,21600r21600,l21600,xe">
                <v:stroke joinstyle="miter"/>
                <v:path gradientshapeok="t" o:connecttype="rect"/>
              </v:shapetype>
              <v:shape id="Tekstvak 3" o:spid="_x0000_s1026" type="#_x0000_t202" style="position:absolute;left:0;text-align:left;margin-left:0;margin-top:17.55pt;width:425.6pt;height:49.9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7EBBE88D" w14:textId="0E52255A" w:rsidR="00EB3E63" w:rsidRPr="002A62AB" w:rsidRDefault="00EB3E63" w:rsidP="00EB3E63">
                      <w:pPr>
                        <w:jc w:val="both"/>
                        <w:rPr>
                          <w:b/>
                          <w:bCs/>
                        </w:rPr>
                      </w:pPr>
                      <w:r w:rsidRPr="002A62AB">
                        <w:rPr>
                          <w:b/>
                          <w:bCs/>
                        </w:rPr>
                        <w:t xml:space="preserve">Geef hier </w:t>
                      </w:r>
                      <w:r>
                        <w:rPr>
                          <w:b/>
                          <w:bCs/>
                        </w:rPr>
                        <w:t xml:space="preserve">aan waarom sprake is van een </w:t>
                      </w:r>
                      <w:r w:rsidRPr="00EB3E63">
                        <w:rPr>
                          <w:b/>
                          <w:bCs/>
                        </w:rPr>
                        <w:t xml:space="preserve">hoogrenderende warmtekrachtkoppeling </w:t>
                      </w:r>
                      <w:r>
                        <w:rPr>
                          <w:b/>
                          <w:bCs/>
                        </w:rPr>
                        <w:t>conform bovenstaande definitie</w:t>
                      </w:r>
                      <w:r w:rsidRPr="002A62AB">
                        <w:rPr>
                          <w:b/>
                          <w:bCs/>
                        </w:rPr>
                        <w:t>:</w:t>
                      </w:r>
                    </w:p>
                    <w:p w14:paraId="09D554AC" w14:textId="77777777" w:rsidR="00EB3E63" w:rsidRDefault="00EB3E63" w:rsidP="00EB3E63"/>
                    <w:p w14:paraId="581E103E" w14:textId="77777777" w:rsidR="00EB3E63" w:rsidRDefault="00EB3E63" w:rsidP="00EB3E63"/>
                    <w:p w14:paraId="1461F87D" w14:textId="77777777" w:rsidR="00EB3E63" w:rsidRDefault="00EB3E63" w:rsidP="00EB3E63"/>
                    <w:p w14:paraId="0D867E59" w14:textId="77777777" w:rsidR="00EB3E63" w:rsidRDefault="00EB3E63" w:rsidP="00EB3E63"/>
                    <w:p w14:paraId="7BA9D2E0" w14:textId="77777777" w:rsidR="00EB3E63" w:rsidRDefault="00EB3E63" w:rsidP="00EB3E63"/>
                    <w:p w14:paraId="3D0BE492" w14:textId="77777777" w:rsidR="00EB3E63" w:rsidRDefault="00EB3E63" w:rsidP="00EB3E63"/>
                    <w:p w14:paraId="0C4C7EFF" w14:textId="77777777" w:rsidR="00EB3E63" w:rsidRDefault="00EB3E63" w:rsidP="00EB3E63"/>
                    <w:p w14:paraId="6DB0BAD3" w14:textId="77777777" w:rsidR="00EB3E63" w:rsidRDefault="00EB3E63" w:rsidP="00EB3E63"/>
                    <w:p w14:paraId="2FFC27B7" w14:textId="77777777" w:rsidR="00EB3E63" w:rsidRDefault="00EB3E63" w:rsidP="00EB3E63">
                      <w:r>
                        <w:t xml:space="preserve">  </w:t>
                      </w:r>
                    </w:p>
                  </w:txbxContent>
                </v:textbox>
                <w10:wrap type="topAndBottom" anchorx="margin"/>
              </v:shape>
            </w:pict>
          </mc:Fallback>
        </mc:AlternateContent>
      </w:r>
    </w:p>
    <w:p w14:paraId="1A7E87C2" w14:textId="77777777" w:rsidR="0070700F" w:rsidRDefault="0070700F" w:rsidP="00C45078">
      <w:pPr>
        <w:jc w:val="both"/>
        <w:rPr>
          <w:b/>
          <w:bCs/>
          <w:i/>
          <w:iCs/>
          <w:u w:val="single"/>
        </w:rPr>
      </w:pPr>
    </w:p>
    <w:p w14:paraId="2BBEB094" w14:textId="4FDE1DC0" w:rsidR="0070700F" w:rsidRDefault="0070700F" w:rsidP="00C45078">
      <w:pPr>
        <w:jc w:val="both"/>
        <w:rPr>
          <w:i/>
          <w:iCs/>
        </w:rPr>
      </w:pPr>
      <w:r w:rsidRPr="00326FA1">
        <w:rPr>
          <w:b/>
          <w:bCs/>
          <w:i/>
          <w:iCs/>
          <w:u w:val="single"/>
        </w:rPr>
        <w:t xml:space="preserve">Art </w:t>
      </w:r>
      <w:r>
        <w:rPr>
          <w:b/>
          <w:bCs/>
          <w:i/>
          <w:iCs/>
          <w:u w:val="single"/>
        </w:rPr>
        <w:t>40</w:t>
      </w:r>
      <w:r w:rsidRPr="00326FA1">
        <w:rPr>
          <w:b/>
          <w:bCs/>
          <w:i/>
          <w:iCs/>
          <w:u w:val="single"/>
        </w:rPr>
        <w:t xml:space="preserve">, lid </w:t>
      </w:r>
      <w:r>
        <w:rPr>
          <w:b/>
          <w:bCs/>
          <w:i/>
          <w:iCs/>
          <w:u w:val="single"/>
        </w:rPr>
        <w:t>2</w:t>
      </w:r>
      <w:r w:rsidRPr="00326FA1">
        <w:rPr>
          <w:b/>
          <w:bCs/>
          <w:i/>
          <w:iCs/>
          <w:u w:val="single"/>
        </w:rPr>
        <w:t>:</w:t>
      </w:r>
    </w:p>
    <w:p w14:paraId="283A5620" w14:textId="29E0C508" w:rsidR="006E1C72" w:rsidRDefault="005B74F1" w:rsidP="00C45078">
      <w:pPr>
        <w:jc w:val="both"/>
        <w:rPr>
          <w:i/>
          <w:iCs/>
        </w:rPr>
      </w:pPr>
      <w:r w:rsidRPr="005B74F1">
        <w:rPr>
          <w:i/>
          <w:iCs/>
        </w:rPr>
        <w:t>De investeringssteun wordt uitsluitend voor nieuw geïnstalleerd of gerenoveerd vermogen verleend.</w:t>
      </w:r>
    </w:p>
    <w:p w14:paraId="37AB9363" w14:textId="17284105" w:rsidR="006E1C72" w:rsidRDefault="006E1C72" w:rsidP="00C45078">
      <w:pPr>
        <w:jc w:val="both"/>
      </w:pPr>
    </w:p>
    <w:p w14:paraId="53A7BECA" w14:textId="27A75524" w:rsidR="0070700F" w:rsidRDefault="0070700F" w:rsidP="00C45078">
      <w:pPr>
        <w:jc w:val="both"/>
        <w:rPr>
          <w:i/>
          <w:iCs/>
        </w:rPr>
      </w:pPr>
      <w:r w:rsidRPr="00326FA1">
        <w:rPr>
          <w:b/>
          <w:bCs/>
          <w:i/>
          <w:iCs/>
          <w:u w:val="single"/>
        </w:rPr>
        <w:t xml:space="preserve">Art </w:t>
      </w:r>
      <w:r>
        <w:rPr>
          <w:b/>
          <w:bCs/>
          <w:i/>
          <w:iCs/>
          <w:u w:val="single"/>
        </w:rPr>
        <w:t>40</w:t>
      </w:r>
      <w:r w:rsidRPr="00326FA1">
        <w:rPr>
          <w:b/>
          <w:bCs/>
          <w:i/>
          <w:iCs/>
          <w:u w:val="single"/>
        </w:rPr>
        <w:t xml:space="preserve">, lid </w:t>
      </w:r>
      <w:r>
        <w:rPr>
          <w:b/>
          <w:bCs/>
          <w:i/>
          <w:iCs/>
          <w:u w:val="single"/>
        </w:rPr>
        <w:t>3</w:t>
      </w:r>
      <w:r w:rsidRPr="00326FA1">
        <w:rPr>
          <w:b/>
          <w:bCs/>
          <w:i/>
          <w:iCs/>
          <w:u w:val="single"/>
        </w:rPr>
        <w:t>:</w:t>
      </w:r>
    </w:p>
    <w:p w14:paraId="7B1FD077" w14:textId="3BD92718" w:rsidR="006E1C72" w:rsidRDefault="005B74F1" w:rsidP="00C45078">
      <w:pPr>
        <w:jc w:val="both"/>
        <w:rPr>
          <w:i/>
          <w:iCs/>
        </w:rPr>
      </w:pPr>
      <w:r w:rsidRPr="005B74F1">
        <w:rPr>
          <w:i/>
          <w:iCs/>
        </w:rPr>
        <w:t>De nieuwe warmtekrachteenheid behaalt in totaal besparingen van primaire energie ten opzichte van de gescheiden productie van warmte en elektriciteit als bepaald in Richtlijn 2012/27/EU van het Europees Parlement en de Raad van 25 oktober 2012 betreffende energie-efficiëntie, tot wijziging van Richtlijnen 2009/125/EG en 2010/30/EU en houdende intrekking van de Richtlijnen 2004/8/EG en 2006/32/EG. De verbetering van een bestaande warmtekrachteenheid of de ombouw van een bestaande stroomproductie-eenheid tot een warmtekrachteenheid resulteert in besparingen van primaire energie ten opzichte van de oorspronkelijke situatie.</w:t>
      </w:r>
    </w:p>
    <w:p w14:paraId="62C12C12" w14:textId="77777777" w:rsidR="005B74F1" w:rsidRPr="005B74F1" w:rsidRDefault="005B74F1" w:rsidP="00C45078">
      <w:pPr>
        <w:jc w:val="both"/>
      </w:pPr>
    </w:p>
    <w:p w14:paraId="30B764E2" w14:textId="76EB0746" w:rsidR="00AC7AB9" w:rsidRDefault="00C72E38" w:rsidP="00C45078">
      <w:pPr>
        <w:jc w:val="both"/>
      </w:pPr>
      <w:r w:rsidRPr="009173C5">
        <w:rPr>
          <w:b/>
          <w:bCs/>
        </w:rPr>
        <w:t>Toelichting</w:t>
      </w:r>
      <w:r w:rsidRPr="009173C5">
        <w:t>:</w:t>
      </w:r>
      <w:r w:rsidR="003F5BAF" w:rsidRPr="009173C5">
        <w:t xml:space="preserve"> </w:t>
      </w:r>
      <w:r w:rsidR="0070700F">
        <w:br/>
      </w:r>
      <w:r w:rsidR="009173C5">
        <w:t>U dient</w:t>
      </w:r>
      <w:r w:rsidR="009173C5" w:rsidRPr="009173C5">
        <w:t xml:space="preserve"> </w:t>
      </w:r>
      <w:r w:rsidR="009173C5">
        <w:t>te onderbouwen hoe het project aan deze eis</w:t>
      </w:r>
      <w:r w:rsidR="00FC5B0E">
        <w:t>en</w:t>
      </w:r>
      <w:r w:rsidR="009173C5">
        <w:t xml:space="preserve"> voldoet. </w:t>
      </w:r>
      <w:r w:rsidR="00197549">
        <w:t xml:space="preserve">We wijzen hierbij op Verordening 2015/2402 </w:t>
      </w:r>
      <w:r w:rsidR="00197549" w:rsidRPr="00197549">
        <w:t>tot herziening van geharmoniseerde rendementsreferentiewaarden voor de gescheiden productie van elektriciteit en warmte overeenkomstig Richtlijn 2012/27/EU</w:t>
      </w:r>
      <w:r w:rsidR="00197549">
        <w:t>.</w:t>
      </w:r>
    </w:p>
    <w:p w14:paraId="1F135BA4" w14:textId="6939F672" w:rsidR="0045511D" w:rsidRDefault="0070700F" w:rsidP="00C45078">
      <w:pPr>
        <w:jc w:val="both"/>
      </w:pPr>
      <w:r>
        <w:rPr>
          <w:noProof/>
          <w:lang w:eastAsia="nl-NL"/>
        </w:rPr>
        <mc:AlternateContent>
          <mc:Choice Requires="wps">
            <w:drawing>
              <wp:anchor distT="45720" distB="45720" distL="114300" distR="114300" simplePos="0" relativeHeight="251659264" behindDoc="0" locked="0" layoutInCell="1" allowOverlap="1" wp14:anchorId="6FB05E2F" wp14:editId="5C1A2B0E">
                <wp:simplePos x="0" y="0"/>
                <wp:positionH relativeFrom="margin">
                  <wp:posOffset>0</wp:posOffset>
                </wp:positionH>
                <wp:positionV relativeFrom="paragraph">
                  <wp:posOffset>227965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FFE2D36" w14:textId="0C6CC178" w:rsidR="0070700F" w:rsidRPr="002A62AB" w:rsidRDefault="0070700F" w:rsidP="0070700F">
                            <w:pPr>
                              <w:rPr>
                                <w:b/>
                                <w:bCs/>
                              </w:rPr>
                            </w:pPr>
                            <w:r w:rsidRPr="002A62AB">
                              <w:rPr>
                                <w:b/>
                                <w:bCs/>
                              </w:rPr>
                              <w:t xml:space="preserve">Geef hier aan waarom de activiteiten in uw projectplan </w:t>
                            </w:r>
                            <w:r w:rsidR="009D4BD3">
                              <w:rPr>
                                <w:b/>
                                <w:bCs/>
                              </w:rPr>
                              <w:t xml:space="preserve">voldoen </w:t>
                            </w:r>
                            <w:r w:rsidRPr="002A62AB">
                              <w:rPr>
                                <w:b/>
                                <w:bCs/>
                              </w:rPr>
                              <w:t xml:space="preserve">aan artikel </w:t>
                            </w:r>
                            <w:r w:rsidR="00D77F74">
                              <w:rPr>
                                <w:b/>
                                <w:bCs/>
                              </w:rPr>
                              <w:t>40</w:t>
                            </w:r>
                            <w:r w:rsidRPr="002A62AB">
                              <w:rPr>
                                <w:b/>
                                <w:bCs/>
                              </w:rPr>
                              <w:t xml:space="preserve">, </w:t>
                            </w:r>
                            <w:r w:rsidR="009D4BD3">
                              <w:rPr>
                                <w:b/>
                                <w:bCs/>
                              </w:rPr>
                              <w:t xml:space="preserve">lid </w:t>
                            </w:r>
                            <w:r w:rsidR="00EB3E63">
                              <w:rPr>
                                <w:b/>
                                <w:bCs/>
                              </w:rPr>
                              <w:t xml:space="preserve">2 </w:t>
                            </w:r>
                            <w:r w:rsidR="00D77F74">
                              <w:rPr>
                                <w:b/>
                                <w:bCs/>
                              </w:rPr>
                              <w:t>en lid 3</w:t>
                            </w:r>
                            <w:r w:rsidRPr="002A62AB">
                              <w:rPr>
                                <w:b/>
                                <w:bCs/>
                              </w:rPr>
                              <w:t>:</w:t>
                            </w:r>
                          </w:p>
                          <w:p w14:paraId="65194BCE" w14:textId="77777777" w:rsidR="0070700F" w:rsidRDefault="0070700F" w:rsidP="0070700F"/>
                          <w:p w14:paraId="167DF9DA" w14:textId="77777777" w:rsidR="0070700F" w:rsidRDefault="0070700F" w:rsidP="0070700F"/>
                          <w:p w14:paraId="79E6D5C4" w14:textId="77777777" w:rsidR="0070700F" w:rsidRDefault="0070700F" w:rsidP="0070700F"/>
                          <w:p w14:paraId="27A3BB89" w14:textId="77777777" w:rsidR="0070700F" w:rsidRDefault="0070700F" w:rsidP="0070700F"/>
                          <w:p w14:paraId="4F5E5002" w14:textId="77777777" w:rsidR="0070700F" w:rsidRDefault="0070700F" w:rsidP="0070700F"/>
                          <w:p w14:paraId="70304360" w14:textId="77777777" w:rsidR="0070700F" w:rsidRDefault="0070700F" w:rsidP="0070700F"/>
                          <w:p w14:paraId="0695B43D" w14:textId="77777777" w:rsidR="0070700F" w:rsidRDefault="0070700F" w:rsidP="0070700F"/>
                          <w:p w14:paraId="38302D1A" w14:textId="77777777" w:rsidR="0070700F" w:rsidRDefault="0070700F" w:rsidP="0070700F"/>
                          <w:p w14:paraId="2B3F06FA" w14:textId="77777777" w:rsidR="0070700F" w:rsidRDefault="0070700F" w:rsidP="0070700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05E2F" id="Tekstvak 2" o:spid="_x0000_s1027" type="#_x0000_t202" style="position:absolute;left:0;text-align:left;margin-left:0;margin-top:17.9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">
                <v:textbox style="mso-fit-shape-to-text:t">
                  <w:txbxContent>
                    <w:p w14:paraId="4FFE2D36" w14:textId="0C6CC178" w:rsidR="0070700F" w:rsidRPr="002A62AB" w:rsidRDefault="0070700F" w:rsidP="0070700F">
                      <w:pPr>
                        <w:rPr>
                          <w:b/>
                          <w:bCs/>
                        </w:rPr>
                      </w:pPr>
                      <w:r w:rsidRPr="002A62AB">
                        <w:rPr>
                          <w:b/>
                          <w:bCs/>
                        </w:rPr>
                        <w:t xml:space="preserve">Geef hier aan waarom de activiteiten in uw projectplan </w:t>
                      </w:r>
                      <w:r w:rsidR="009D4BD3">
                        <w:rPr>
                          <w:b/>
                          <w:bCs/>
                        </w:rPr>
                        <w:t xml:space="preserve">voldoen </w:t>
                      </w:r>
                      <w:r w:rsidRPr="002A62AB">
                        <w:rPr>
                          <w:b/>
                          <w:bCs/>
                        </w:rPr>
                        <w:t xml:space="preserve">aan artikel </w:t>
                      </w:r>
                      <w:r w:rsidR="00D77F74">
                        <w:rPr>
                          <w:b/>
                          <w:bCs/>
                        </w:rPr>
                        <w:t>40</w:t>
                      </w:r>
                      <w:r w:rsidRPr="002A62AB">
                        <w:rPr>
                          <w:b/>
                          <w:bCs/>
                        </w:rPr>
                        <w:t xml:space="preserve">, </w:t>
                      </w:r>
                      <w:r w:rsidR="009D4BD3">
                        <w:rPr>
                          <w:b/>
                          <w:bCs/>
                        </w:rPr>
                        <w:t xml:space="preserve">lid </w:t>
                      </w:r>
                      <w:r w:rsidR="00EB3E63">
                        <w:rPr>
                          <w:b/>
                          <w:bCs/>
                        </w:rPr>
                        <w:t xml:space="preserve">2 </w:t>
                      </w:r>
                      <w:r w:rsidR="00D77F74">
                        <w:rPr>
                          <w:b/>
                          <w:bCs/>
                        </w:rPr>
                        <w:t>en lid 3</w:t>
                      </w:r>
                      <w:r w:rsidRPr="002A62AB">
                        <w:rPr>
                          <w:b/>
                          <w:bCs/>
                        </w:rPr>
                        <w:t>:</w:t>
                      </w:r>
                    </w:p>
                    <w:p w14:paraId="65194BCE" w14:textId="77777777" w:rsidR="0070700F" w:rsidRDefault="0070700F" w:rsidP="0070700F"/>
                    <w:p w14:paraId="167DF9DA" w14:textId="77777777" w:rsidR="0070700F" w:rsidRDefault="0070700F" w:rsidP="0070700F"/>
                    <w:p w14:paraId="79E6D5C4" w14:textId="77777777" w:rsidR="0070700F" w:rsidRDefault="0070700F" w:rsidP="0070700F"/>
                    <w:p w14:paraId="27A3BB89" w14:textId="77777777" w:rsidR="0070700F" w:rsidRDefault="0070700F" w:rsidP="0070700F"/>
                    <w:p w14:paraId="4F5E5002" w14:textId="77777777" w:rsidR="0070700F" w:rsidRDefault="0070700F" w:rsidP="0070700F"/>
                    <w:p w14:paraId="70304360" w14:textId="77777777" w:rsidR="0070700F" w:rsidRDefault="0070700F" w:rsidP="0070700F"/>
                    <w:p w14:paraId="0695B43D" w14:textId="77777777" w:rsidR="0070700F" w:rsidRDefault="0070700F" w:rsidP="0070700F"/>
                    <w:p w14:paraId="38302D1A" w14:textId="77777777" w:rsidR="0070700F" w:rsidRDefault="0070700F" w:rsidP="0070700F"/>
                    <w:p w14:paraId="2B3F06FA" w14:textId="77777777" w:rsidR="0070700F" w:rsidRDefault="0070700F" w:rsidP="0070700F">
                      <w:r>
                        <w:t xml:space="preserve">  </w:t>
                      </w:r>
                    </w:p>
                  </w:txbxContent>
                </v:textbox>
                <w10:wrap type="topAndBottom" anchorx="margin"/>
              </v:shape>
            </w:pict>
          </mc:Fallback>
        </mc:AlternateContent>
      </w:r>
    </w:p>
    <w:p w14:paraId="44FEC760" w14:textId="7D337E3B" w:rsidR="0070700F" w:rsidRDefault="0070700F" w:rsidP="00C45078">
      <w:pPr>
        <w:jc w:val="both"/>
      </w:pPr>
    </w:p>
    <w:p w14:paraId="3BBE4AB2" w14:textId="0E446968" w:rsidR="0070700F" w:rsidRDefault="0070700F" w:rsidP="00C45078">
      <w:pPr>
        <w:jc w:val="both"/>
      </w:pPr>
    </w:p>
    <w:p w14:paraId="2C715128" w14:textId="36DDC0CF" w:rsidR="000B4F3D" w:rsidRDefault="000B4F3D" w:rsidP="00C45078">
      <w:pPr>
        <w:jc w:val="both"/>
        <w:rPr>
          <w:i/>
          <w:iCs/>
        </w:rPr>
      </w:pPr>
      <w:r w:rsidRPr="00326FA1">
        <w:rPr>
          <w:b/>
          <w:bCs/>
          <w:i/>
          <w:iCs/>
          <w:u w:val="single"/>
        </w:rPr>
        <w:lastRenderedPageBreak/>
        <w:t xml:space="preserve">Art </w:t>
      </w:r>
      <w:r>
        <w:rPr>
          <w:b/>
          <w:bCs/>
          <w:i/>
          <w:iCs/>
          <w:u w:val="single"/>
        </w:rPr>
        <w:t>40</w:t>
      </w:r>
      <w:r w:rsidRPr="00326FA1">
        <w:rPr>
          <w:b/>
          <w:bCs/>
          <w:i/>
          <w:iCs/>
          <w:u w:val="single"/>
        </w:rPr>
        <w:t xml:space="preserve">, lid </w:t>
      </w:r>
      <w:r>
        <w:rPr>
          <w:b/>
          <w:bCs/>
          <w:i/>
          <w:iCs/>
          <w:u w:val="single"/>
        </w:rPr>
        <w:t>4</w:t>
      </w:r>
      <w:r w:rsidRPr="00326FA1">
        <w:rPr>
          <w:b/>
          <w:bCs/>
          <w:i/>
          <w:iCs/>
          <w:u w:val="single"/>
        </w:rPr>
        <w:t>:</w:t>
      </w:r>
    </w:p>
    <w:p w14:paraId="771D1548" w14:textId="222E6E52" w:rsidR="006E1C72" w:rsidRDefault="0045511D" w:rsidP="00C45078">
      <w:pPr>
        <w:jc w:val="both"/>
        <w:rPr>
          <w:i/>
          <w:iCs/>
        </w:rPr>
      </w:pPr>
      <w:r w:rsidRPr="0045511D">
        <w:rPr>
          <w:i/>
          <w:iCs/>
        </w:rPr>
        <w:t>De in aanmerking komende kosten zijn de bijkomende investeringskosten voor de uitrusting die — vergeleken met conventionele elektriciteits- of verwarmingsinstallaties met dezelfde capaciteit — nodig is om de installatie als een hoogrenderende warmtekrachtinstallatie te exploiteren, of, wanneer een bestaande installatie de hoogrendementsdrempel reeds haalt, de bijkomende investeringskosten om deze te upgraden naar een hoger rendement.</w:t>
      </w:r>
    </w:p>
    <w:p w14:paraId="3265ECB3" w14:textId="77777777" w:rsidR="0045511D" w:rsidRPr="0045511D" w:rsidRDefault="0045511D" w:rsidP="00C45078">
      <w:pPr>
        <w:jc w:val="both"/>
      </w:pPr>
    </w:p>
    <w:p w14:paraId="500AFCAF" w14:textId="3CAF050B" w:rsidR="00FC7982" w:rsidRPr="0087642A" w:rsidRDefault="006E1C72" w:rsidP="00C45078">
      <w:pPr>
        <w:jc w:val="both"/>
      </w:pPr>
      <w:r w:rsidRPr="0087642A">
        <w:rPr>
          <w:b/>
          <w:bCs/>
        </w:rPr>
        <w:t>Toelichting</w:t>
      </w:r>
      <w:r w:rsidRPr="0087642A">
        <w:t xml:space="preserve">: </w:t>
      </w:r>
    </w:p>
    <w:p w14:paraId="0C926586" w14:textId="3EDB74BC" w:rsidR="0045511D" w:rsidRPr="0035470F" w:rsidRDefault="0045511D" w:rsidP="00C45078">
      <w:pPr>
        <w:jc w:val="both"/>
      </w:pPr>
      <w:r w:rsidRPr="0035470F">
        <w:t>Wij verzoeken u a</w:t>
      </w:r>
      <w:r>
        <w:t>an te geven wat er zou gebeuren zonder steun</w:t>
      </w:r>
      <w:r w:rsidR="00AD746C">
        <w:t>, en een toelichting te geven op de investeringskosten</w:t>
      </w:r>
      <w:r>
        <w:t xml:space="preserve">. </w:t>
      </w:r>
    </w:p>
    <w:p w14:paraId="19D9A937" w14:textId="674D7DA6" w:rsidR="0045511D" w:rsidRDefault="0045511D" w:rsidP="00C45078">
      <w:pPr>
        <w:jc w:val="both"/>
      </w:pPr>
    </w:p>
    <w:p w14:paraId="097FCEEA" w14:textId="36235267" w:rsidR="006C25E6" w:rsidRPr="00DA7EAA" w:rsidRDefault="006C25E6" w:rsidP="00C45078">
      <w:pPr>
        <w:jc w:val="both"/>
      </w:pPr>
      <w:r w:rsidRPr="00DA7EAA">
        <w:t xml:space="preserve">1. </w:t>
      </w:r>
      <w:r w:rsidR="00AD746C" w:rsidRPr="00BB7A6C">
        <w:t xml:space="preserve">referentieproject </w:t>
      </w:r>
      <w:r w:rsidRPr="00DA7EAA">
        <w:t>bijkomende investeringskosten</w:t>
      </w:r>
    </w:p>
    <w:p w14:paraId="363D8157" w14:textId="6AE017FE" w:rsidR="00A514C7" w:rsidRPr="00A514C7" w:rsidRDefault="00DA7EAA" w:rsidP="00C45078">
      <w:pPr>
        <w:jc w:val="both"/>
      </w:pPr>
      <w:r>
        <w:t xml:space="preserve">Als er geen sprake is van </w:t>
      </w:r>
      <w:r w:rsidRPr="00DA7EAA">
        <w:t>een bestaande installatie</w:t>
      </w:r>
      <w:r>
        <w:t xml:space="preserve"> die</w:t>
      </w:r>
      <w:r w:rsidRPr="00DA7EAA">
        <w:t xml:space="preserve"> de hoogrendementsdrempel reeds haalt</w:t>
      </w:r>
      <w:r>
        <w:t xml:space="preserve">, is het startpunt de vraag wat de aanleiding is voor het project: de </w:t>
      </w:r>
      <w:r w:rsidRPr="00DA7EAA">
        <w:t xml:space="preserve">elektriciteits- of </w:t>
      </w:r>
      <w:r>
        <w:t xml:space="preserve">de </w:t>
      </w:r>
      <w:r w:rsidRPr="00DA7EAA">
        <w:t>verwarmings</w:t>
      </w:r>
      <w:r>
        <w:t xml:space="preserve">capaciteit? </w:t>
      </w:r>
      <w:r w:rsidR="00A514C7" w:rsidRPr="00A514C7">
        <w:t>Als u een hoogrenderende verwarmingsinstallatie vooral bouwt vanwege de w</w:t>
      </w:r>
      <w:r w:rsidR="00A514C7">
        <w:t xml:space="preserve">armte die deze genereert, en de elektriciteit een bijproduct is, is het </w:t>
      </w:r>
      <w:r w:rsidR="00AD746C" w:rsidRPr="00BB7A6C">
        <w:t xml:space="preserve">referentieproject </w:t>
      </w:r>
      <w:r w:rsidR="00A514C7">
        <w:t xml:space="preserve">een </w:t>
      </w:r>
      <w:r w:rsidR="0045511D">
        <w:t>conventionele</w:t>
      </w:r>
      <w:r w:rsidR="00A514C7">
        <w:t xml:space="preserve"> </w:t>
      </w:r>
      <w:r w:rsidR="00A514C7" w:rsidRPr="00A514C7">
        <w:t>verwarmingsinstallatie</w:t>
      </w:r>
      <w:r w:rsidR="00A514C7">
        <w:t xml:space="preserve"> met dezelfde capaciteit als de </w:t>
      </w:r>
      <w:r w:rsidR="00A514C7" w:rsidRPr="00A514C7">
        <w:t>hoogrenderende verwarmingsinstallatie</w:t>
      </w:r>
      <w:r w:rsidR="00A514C7">
        <w:t>.</w:t>
      </w:r>
    </w:p>
    <w:p w14:paraId="52443FE2" w14:textId="11CB3179" w:rsidR="00B7512E" w:rsidRDefault="00B7512E" w:rsidP="00C45078">
      <w:pPr>
        <w:jc w:val="both"/>
      </w:pPr>
    </w:p>
    <w:p w14:paraId="1E445A18" w14:textId="77777777" w:rsidR="00AD746C" w:rsidRDefault="00AD746C" w:rsidP="00C45078">
      <w:pPr>
        <w:jc w:val="both"/>
      </w:pPr>
      <w:r w:rsidRPr="00BB7A6C">
        <w:t xml:space="preserve">Wij wijzen erop dat het referentieproject </w:t>
      </w:r>
      <w:r>
        <w:t>e</w:t>
      </w:r>
      <w:r w:rsidRPr="00BB7A6C">
        <w:t>en in technisch opzicht vergelijkbare investering</w:t>
      </w:r>
      <w:r>
        <w:t xml:space="preserve"> moet zijn. Dit</w:t>
      </w:r>
      <w:r w:rsidRPr="00BB7A6C">
        <w:t xml:space="preserve"> is een investering met dezelfde productiecapaciteit en alle overige technische kenmerken (met uitzondering van die welke rechtstreeks betrekking hebben op de extra investering voor de beoogde doelstelling</w:t>
      </w:r>
      <w:r>
        <w:t xml:space="preserve">). </w:t>
      </w:r>
      <w:r w:rsidRPr="00BB7A6C">
        <w:t xml:space="preserve">Dit referentieproject moet, uit zakelijk oogpunt, een geloofwaardig alternatief zijn voor de te beoordelen investering. </w:t>
      </w:r>
    </w:p>
    <w:p w14:paraId="37FA7417" w14:textId="77777777" w:rsidR="00AD746C" w:rsidRPr="0087642A" w:rsidRDefault="00AD746C" w:rsidP="00C45078">
      <w:pPr>
        <w:jc w:val="both"/>
      </w:pPr>
    </w:p>
    <w:p w14:paraId="70D07CBF" w14:textId="0FEB7344" w:rsidR="006C25E6" w:rsidRPr="0087642A" w:rsidRDefault="006C25E6" w:rsidP="00C45078">
      <w:pPr>
        <w:jc w:val="both"/>
      </w:pPr>
      <w:r w:rsidRPr="0087642A">
        <w:t xml:space="preserve">2. </w:t>
      </w:r>
      <w:r w:rsidR="00AD746C" w:rsidRPr="00BB7A6C">
        <w:t xml:space="preserve">referentieproject </w:t>
      </w:r>
      <w:r w:rsidRPr="0087642A">
        <w:t>upgraden</w:t>
      </w:r>
    </w:p>
    <w:p w14:paraId="691140A9" w14:textId="17EE6847" w:rsidR="00E361D4" w:rsidRDefault="00E361D4" w:rsidP="00C45078">
      <w:pPr>
        <w:jc w:val="both"/>
      </w:pPr>
      <w:r w:rsidRPr="00E361D4">
        <w:t>Ook bij het</w:t>
      </w:r>
      <w:r>
        <w:t xml:space="preserve"> </w:t>
      </w:r>
      <w:r w:rsidRPr="00E361D4">
        <w:t xml:space="preserve">upgraden van een bestaande installatie die de hoogrendementsdrempel reeds haalt, is een </w:t>
      </w:r>
      <w:r w:rsidR="00AD746C" w:rsidRPr="00BB7A6C">
        <w:t xml:space="preserve">referentieproject </w:t>
      </w:r>
      <w:r w:rsidRPr="00E361D4">
        <w:t>nod</w:t>
      </w:r>
      <w:r>
        <w:t xml:space="preserve">ig. </w:t>
      </w:r>
      <w:r w:rsidRPr="00E361D4">
        <w:t>Dit bestaat eruit dat de installatie zonder steun</w:t>
      </w:r>
      <w:r>
        <w:t xml:space="preserve"> zou blijven draaien. Het gaat dan vooral om de investeringen die nodig zouden zijn om de bestaande installatie te laten draaien voor dezelfde levensduur als de levensduur van de geplande geüpgrade installatie.</w:t>
      </w:r>
    </w:p>
    <w:p w14:paraId="5E3943B2" w14:textId="77777777" w:rsidR="00AD746C" w:rsidRPr="0087642A" w:rsidRDefault="00AD746C" w:rsidP="00C45078">
      <w:pPr>
        <w:jc w:val="both"/>
      </w:pPr>
    </w:p>
    <w:p w14:paraId="57E3DB91" w14:textId="7F77ADCC" w:rsidR="006C25E6" w:rsidRPr="006C25E6" w:rsidRDefault="006C25E6" w:rsidP="00C45078">
      <w:pPr>
        <w:jc w:val="both"/>
      </w:pPr>
      <w:r w:rsidRPr="006C25E6">
        <w:t>3. in aanmerking komende kosten</w:t>
      </w:r>
    </w:p>
    <w:p w14:paraId="5ECA0004" w14:textId="6CB85FD5" w:rsidR="0087642A" w:rsidRPr="00054720" w:rsidRDefault="00DA2BA3" w:rsidP="00C45078">
      <w:pPr>
        <w:jc w:val="both"/>
      </w:pPr>
      <w:r w:rsidRPr="00DA2BA3">
        <w:t>Bij milieusteun zijn de in aanmerking komende kosten de extra kosten van de investeringen in immateriële en/of materiële activa die rechtstreeks verband houden met het bereiken van de gemeenschappelijke doelstelling</w:t>
      </w:r>
      <w:r>
        <w:rPr>
          <w:rStyle w:val="Voetnootmarkering"/>
        </w:rPr>
        <w:footnoteReference w:id="2"/>
      </w:r>
      <w:r w:rsidRPr="00DA2BA3">
        <w:t xml:space="preserve">. </w:t>
      </w:r>
      <w:r w:rsidR="0087642A" w:rsidRPr="00054720">
        <w:t>Zie verder artikel 2</w:t>
      </w:r>
      <w:r w:rsidR="005067DE" w:rsidRPr="00054720">
        <w:t>, lid 29 en 30,</w:t>
      </w:r>
      <w:r w:rsidR="0087642A" w:rsidRPr="00054720">
        <w:t xml:space="preserve"> AGVV:</w:t>
      </w:r>
    </w:p>
    <w:p w14:paraId="0C4B84C4" w14:textId="6CBAF7A7" w:rsidR="00B7512E" w:rsidRPr="00054720" w:rsidRDefault="000B4F3D" w:rsidP="00C45078">
      <w:pPr>
        <w:jc w:val="both"/>
      </w:pPr>
      <w:r>
        <w:t>“</w:t>
      </w:r>
      <w:r w:rsidR="0087642A" w:rsidRPr="0087642A">
        <w:t>materiële activa”: activa bestaande uit gronden, gebouwen en installaties, machines en uitrusting;</w:t>
      </w:r>
      <w:r>
        <w:br/>
        <w:t>“</w:t>
      </w:r>
      <w:r w:rsidR="0087642A" w:rsidRPr="0087642A">
        <w:t>immateriële activa”: fysiek of financieel niet-tastbare activa, zoals octrooien, licenties, knowhow of andere intellectuele-eigendomsrechten</w:t>
      </w:r>
      <w:r w:rsidR="005067DE">
        <w:t>.</w:t>
      </w:r>
    </w:p>
    <w:p w14:paraId="2F906F96" w14:textId="263A870F" w:rsidR="006E1C72" w:rsidRDefault="000B4F3D" w:rsidP="00C45078">
      <w:pPr>
        <w:jc w:val="both"/>
      </w:pPr>
      <w:r>
        <w:rPr>
          <w:noProof/>
          <w:lang w:eastAsia="nl-NL"/>
        </w:rPr>
        <w:lastRenderedPageBreak/>
        <mc:AlternateContent>
          <mc:Choice Requires="wps">
            <w:drawing>
              <wp:anchor distT="45720" distB="45720" distL="114300" distR="114300" simplePos="0" relativeHeight="251661312" behindDoc="0" locked="0" layoutInCell="1" allowOverlap="1" wp14:anchorId="2E5C1E25" wp14:editId="1EFD4729">
                <wp:simplePos x="0" y="0"/>
                <wp:positionH relativeFrom="margin">
                  <wp:posOffset>0</wp:posOffset>
                </wp:positionH>
                <wp:positionV relativeFrom="paragraph">
                  <wp:posOffset>220345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C23A4DB" w14:textId="5BBB03A3" w:rsidR="000B4F3D" w:rsidRPr="002A62AB" w:rsidRDefault="000B4F3D" w:rsidP="000B4F3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40</w:t>
                            </w:r>
                            <w:r w:rsidRPr="002A62AB">
                              <w:rPr>
                                <w:b/>
                                <w:bCs/>
                              </w:rPr>
                              <w:t xml:space="preserve">, lid </w:t>
                            </w:r>
                            <w:r>
                              <w:rPr>
                                <w:b/>
                                <w:bCs/>
                              </w:rPr>
                              <w:t>4</w:t>
                            </w:r>
                            <w:r w:rsidRPr="002A62AB">
                              <w:rPr>
                                <w:b/>
                                <w:bCs/>
                              </w:rPr>
                              <w:t>:</w:t>
                            </w:r>
                          </w:p>
                          <w:p w14:paraId="1E78143E" w14:textId="77777777" w:rsidR="000B4F3D" w:rsidRDefault="000B4F3D" w:rsidP="000B4F3D"/>
                          <w:p w14:paraId="7FAD4837" w14:textId="77777777" w:rsidR="000B4F3D" w:rsidRDefault="000B4F3D" w:rsidP="000B4F3D"/>
                          <w:p w14:paraId="35B860F0" w14:textId="77777777" w:rsidR="000B4F3D" w:rsidRDefault="000B4F3D" w:rsidP="000B4F3D"/>
                          <w:p w14:paraId="7D6BB3DF" w14:textId="77777777" w:rsidR="000B4F3D" w:rsidRDefault="000B4F3D" w:rsidP="000B4F3D"/>
                          <w:p w14:paraId="27E0664D" w14:textId="77777777" w:rsidR="000B4F3D" w:rsidRDefault="000B4F3D" w:rsidP="000B4F3D"/>
                          <w:p w14:paraId="66C16E37" w14:textId="77777777" w:rsidR="000B4F3D" w:rsidRDefault="000B4F3D" w:rsidP="000B4F3D"/>
                          <w:p w14:paraId="25AE1072" w14:textId="77777777" w:rsidR="000B4F3D" w:rsidRDefault="000B4F3D" w:rsidP="000B4F3D"/>
                          <w:p w14:paraId="21B99E70" w14:textId="77777777" w:rsidR="000B4F3D" w:rsidRDefault="000B4F3D" w:rsidP="000B4F3D"/>
                          <w:p w14:paraId="68FFEAED" w14:textId="77777777" w:rsidR="000B4F3D" w:rsidRDefault="000B4F3D" w:rsidP="000B4F3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5C1E25" id="_x0000_s1028" type="#_x0000_t202" style="position:absolute;left:0;text-align:left;margin-left:0;margin-top:17.3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AhG+td3AAAAAcBAAAPAAAAAAAAAAAAAAAAAG8EAABkcnMvZG93bnJldi54bWxQSwUGAAAAAAQA&#10;BADzAAAAeAUAAAAA&#10;">
                <v:textbox style="mso-fit-shape-to-text:t">
                  <w:txbxContent>
                    <w:p w14:paraId="1C23A4DB" w14:textId="5BBB03A3" w:rsidR="000B4F3D" w:rsidRPr="002A62AB" w:rsidRDefault="000B4F3D" w:rsidP="000B4F3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40</w:t>
                      </w:r>
                      <w:r w:rsidRPr="002A62AB">
                        <w:rPr>
                          <w:b/>
                          <w:bCs/>
                        </w:rPr>
                        <w:t xml:space="preserve">, lid </w:t>
                      </w:r>
                      <w:r>
                        <w:rPr>
                          <w:b/>
                          <w:bCs/>
                        </w:rPr>
                        <w:t>4</w:t>
                      </w:r>
                      <w:r w:rsidRPr="002A62AB">
                        <w:rPr>
                          <w:b/>
                          <w:bCs/>
                        </w:rPr>
                        <w:t>:</w:t>
                      </w:r>
                    </w:p>
                    <w:p w14:paraId="1E78143E" w14:textId="77777777" w:rsidR="000B4F3D" w:rsidRDefault="000B4F3D" w:rsidP="000B4F3D"/>
                    <w:p w14:paraId="7FAD4837" w14:textId="77777777" w:rsidR="000B4F3D" w:rsidRDefault="000B4F3D" w:rsidP="000B4F3D"/>
                    <w:p w14:paraId="35B860F0" w14:textId="77777777" w:rsidR="000B4F3D" w:rsidRDefault="000B4F3D" w:rsidP="000B4F3D"/>
                    <w:p w14:paraId="7D6BB3DF" w14:textId="77777777" w:rsidR="000B4F3D" w:rsidRDefault="000B4F3D" w:rsidP="000B4F3D"/>
                    <w:p w14:paraId="27E0664D" w14:textId="77777777" w:rsidR="000B4F3D" w:rsidRDefault="000B4F3D" w:rsidP="000B4F3D"/>
                    <w:p w14:paraId="66C16E37" w14:textId="77777777" w:rsidR="000B4F3D" w:rsidRDefault="000B4F3D" w:rsidP="000B4F3D"/>
                    <w:p w14:paraId="25AE1072" w14:textId="77777777" w:rsidR="000B4F3D" w:rsidRDefault="000B4F3D" w:rsidP="000B4F3D"/>
                    <w:p w14:paraId="21B99E70" w14:textId="77777777" w:rsidR="000B4F3D" w:rsidRDefault="000B4F3D" w:rsidP="000B4F3D"/>
                    <w:p w14:paraId="68FFEAED" w14:textId="77777777" w:rsidR="000B4F3D" w:rsidRDefault="000B4F3D" w:rsidP="000B4F3D">
                      <w:r>
                        <w:t xml:space="preserve">  </w:t>
                      </w:r>
                    </w:p>
                  </w:txbxContent>
                </v:textbox>
                <w10:wrap type="topAndBottom" anchorx="margin"/>
              </v:shape>
            </w:pict>
          </mc:Fallback>
        </mc:AlternateContent>
      </w:r>
    </w:p>
    <w:p w14:paraId="7E0A8C58" w14:textId="37281FE7" w:rsidR="006E1C72" w:rsidRDefault="006E1C72" w:rsidP="00C45078">
      <w:pPr>
        <w:jc w:val="both"/>
      </w:pPr>
    </w:p>
    <w:p w14:paraId="162A8E01" w14:textId="1C922E2A" w:rsidR="000B4F3D" w:rsidRDefault="000B4F3D" w:rsidP="00C45078">
      <w:pPr>
        <w:jc w:val="both"/>
        <w:rPr>
          <w:i/>
          <w:iCs/>
        </w:rPr>
      </w:pPr>
      <w:r w:rsidRPr="00326FA1">
        <w:rPr>
          <w:b/>
          <w:bCs/>
          <w:i/>
          <w:iCs/>
          <w:u w:val="single"/>
        </w:rPr>
        <w:t xml:space="preserve">Art </w:t>
      </w:r>
      <w:r>
        <w:rPr>
          <w:b/>
          <w:bCs/>
          <w:i/>
          <w:iCs/>
          <w:u w:val="single"/>
        </w:rPr>
        <w:t>40</w:t>
      </w:r>
      <w:r w:rsidRPr="00326FA1">
        <w:rPr>
          <w:b/>
          <w:bCs/>
          <w:i/>
          <w:iCs/>
          <w:u w:val="single"/>
        </w:rPr>
        <w:t xml:space="preserve">, lid </w:t>
      </w:r>
      <w:r>
        <w:rPr>
          <w:b/>
          <w:bCs/>
          <w:i/>
          <w:iCs/>
          <w:u w:val="single"/>
        </w:rPr>
        <w:t>5</w:t>
      </w:r>
      <w:r w:rsidRPr="00326FA1">
        <w:rPr>
          <w:b/>
          <w:bCs/>
          <w:i/>
          <w:iCs/>
          <w:u w:val="single"/>
        </w:rPr>
        <w:t>:</w:t>
      </w:r>
    </w:p>
    <w:p w14:paraId="481BF286" w14:textId="7B553BC0" w:rsidR="005B74F1" w:rsidRPr="005B74F1" w:rsidRDefault="005B74F1" w:rsidP="00C45078">
      <w:pPr>
        <w:jc w:val="both"/>
        <w:rPr>
          <w:i/>
          <w:iCs/>
        </w:rPr>
      </w:pPr>
      <w:r w:rsidRPr="005B74F1">
        <w:rPr>
          <w:i/>
          <w:iCs/>
        </w:rPr>
        <w:t>De steunintensiteit bedraagt ten hoogste 45 % van de in aanmerking komende kosten. De steunintensiteit kan met 20 procentpunten worden verhoogd voor steun aan kleine ondernemingen en met 10 procentpunten voor steun aan middelgrote ondernemingen.</w:t>
      </w:r>
    </w:p>
    <w:p w14:paraId="72E2B426" w14:textId="265FAF8C" w:rsidR="000B4F3D" w:rsidRDefault="000B4F3D" w:rsidP="00C45078">
      <w:pPr>
        <w:jc w:val="both"/>
        <w:rPr>
          <w:i/>
          <w:iCs/>
        </w:rPr>
      </w:pPr>
    </w:p>
    <w:p w14:paraId="3FDE58F0" w14:textId="77777777" w:rsidR="001E376E" w:rsidRDefault="001E376E" w:rsidP="00C45078">
      <w:pPr>
        <w:jc w:val="both"/>
        <w:rPr>
          <w:i/>
          <w:iCs/>
        </w:rPr>
      </w:pPr>
    </w:p>
    <w:p w14:paraId="4E9B713C" w14:textId="79E72DD7" w:rsidR="000B4F3D" w:rsidRDefault="000B4F3D" w:rsidP="00C45078">
      <w:pPr>
        <w:jc w:val="both"/>
        <w:rPr>
          <w:i/>
          <w:iCs/>
        </w:rPr>
      </w:pPr>
      <w:r w:rsidRPr="00326FA1">
        <w:rPr>
          <w:b/>
          <w:bCs/>
          <w:i/>
          <w:iCs/>
          <w:u w:val="single"/>
        </w:rPr>
        <w:t xml:space="preserve">Art </w:t>
      </w:r>
      <w:r>
        <w:rPr>
          <w:b/>
          <w:bCs/>
          <w:i/>
          <w:iCs/>
          <w:u w:val="single"/>
        </w:rPr>
        <w:t>40</w:t>
      </w:r>
      <w:r w:rsidRPr="00326FA1">
        <w:rPr>
          <w:b/>
          <w:bCs/>
          <w:i/>
          <w:iCs/>
          <w:u w:val="single"/>
        </w:rPr>
        <w:t xml:space="preserve">, lid </w:t>
      </w:r>
      <w:r>
        <w:rPr>
          <w:b/>
          <w:bCs/>
          <w:i/>
          <w:iCs/>
          <w:u w:val="single"/>
        </w:rPr>
        <w:t>6</w:t>
      </w:r>
      <w:r w:rsidRPr="00326FA1">
        <w:rPr>
          <w:b/>
          <w:bCs/>
          <w:i/>
          <w:iCs/>
          <w:u w:val="single"/>
        </w:rPr>
        <w:t>:</w:t>
      </w:r>
    </w:p>
    <w:p w14:paraId="4FEB63EC" w14:textId="244C8543" w:rsidR="00296355" w:rsidRDefault="005B74F1" w:rsidP="00C45078">
      <w:pPr>
        <w:jc w:val="both"/>
        <w:rPr>
          <w:i/>
          <w:iCs/>
        </w:rPr>
      </w:pPr>
      <w:r w:rsidRPr="005B74F1">
        <w:rPr>
          <w:i/>
          <w:iCs/>
        </w:rPr>
        <w:t>De steunintensiteit kan worden verhoogd met 15 procentpunten voor investeringen in steungebieden die aan de voorwaarden van artikel 107, lid 3, onder a), van het Verdrag voldoen, en met 5 procentpunten voor investeringen in steungebieden die aan de voorwaarden van artikel 107, lid 3, onder c), van het Verdrag voldoen.</w:t>
      </w:r>
    </w:p>
    <w:p w14:paraId="08BB2F91" w14:textId="2FDBF1FE" w:rsidR="00AD746C" w:rsidRDefault="00AD746C" w:rsidP="00C45078">
      <w:pPr>
        <w:jc w:val="both"/>
        <w:rPr>
          <w:b/>
          <w:bCs/>
        </w:rPr>
      </w:pPr>
    </w:p>
    <w:p w14:paraId="4CD87D01" w14:textId="77777777" w:rsidR="00797950" w:rsidRDefault="00797950" w:rsidP="00797950">
      <w:pPr>
        <w:jc w:val="both"/>
        <w:rPr>
          <w:b/>
          <w:bCs/>
          <w:i/>
          <w:iCs/>
          <w:u w:val="single"/>
        </w:rPr>
      </w:pPr>
      <w:bookmarkStart w:id="4" w:name="_Hlk105150757"/>
      <w:bookmarkStart w:id="5" w:name="_Hlk105151671"/>
      <w:r>
        <w:rPr>
          <w:b/>
          <w:bCs/>
        </w:rPr>
        <w:t xml:space="preserve">Toelichting: </w:t>
      </w:r>
      <w:bookmarkStart w:id="6" w:name="_Hlk105150587"/>
      <w:r>
        <w:t>„</w:t>
      </w:r>
      <w:bookmarkEnd w:id="6"/>
      <w:r>
        <w:t>steungebieden”</w:t>
      </w:r>
      <w:bookmarkEnd w:id="4"/>
      <w:r>
        <w:t xml:space="preserve">: </w:t>
      </w:r>
      <w:bookmarkEnd w:id="5"/>
      <w:r>
        <w:t>gebieden die zijn opgenomen op een op grond van artikel 107, lid 3, onder a) en c), van het Verdrag goedgekeurde regionale-steunkaart voor de periode van 1 juli 2014 tot en met 31 december 2021 wat betreft regionale steun die tot 31 december 2021 wordt verleend, en gebieden die zijn opgenomen op een op grond van artikel 107, lid 3, onder a) en c), van het Verdrag goedgekeurde regionale-steunkaart voor de periode van 1 januari 2022 tot en met 31 december 2027 wat betreft regionale steun die na 31 december 2021 wordt verleend.</w:t>
      </w:r>
      <w:r>
        <w:rPr>
          <w:rStyle w:val="Voetnootmarkering"/>
        </w:rPr>
        <w:footnoteReference w:id="3"/>
      </w:r>
    </w:p>
    <w:p w14:paraId="23DF6954" w14:textId="77777777" w:rsidR="00797950" w:rsidRDefault="00797950" w:rsidP="00C45078">
      <w:pPr>
        <w:jc w:val="both"/>
        <w:rPr>
          <w:b/>
          <w:bCs/>
        </w:rPr>
      </w:pPr>
    </w:p>
    <w:p w14:paraId="543EF8D4" w14:textId="77777777" w:rsidR="001E376E" w:rsidRDefault="001E376E" w:rsidP="00C45078">
      <w:pPr>
        <w:jc w:val="both"/>
        <w:rPr>
          <w:b/>
          <w:bCs/>
        </w:rPr>
      </w:pPr>
    </w:p>
    <w:p w14:paraId="456DF513" w14:textId="77777777" w:rsidR="001E376E" w:rsidRDefault="001E376E" w:rsidP="00C45078">
      <w:pPr>
        <w:jc w:val="both"/>
        <w:rPr>
          <w:b/>
          <w:bCs/>
        </w:rPr>
      </w:pPr>
    </w:p>
    <w:p w14:paraId="3C8F8863" w14:textId="0EDCBDE7" w:rsidR="00AD746C" w:rsidRDefault="00AD746C" w:rsidP="00C45078">
      <w:pPr>
        <w:jc w:val="both"/>
      </w:pPr>
      <w:r w:rsidRPr="00BB0726">
        <w:rPr>
          <w:b/>
          <w:bCs/>
        </w:rPr>
        <w:t>Toelichting</w:t>
      </w:r>
      <w:r>
        <w:t xml:space="preserve">: </w:t>
      </w:r>
      <w:r w:rsidR="000B4F3D">
        <w:br/>
        <w:t>Aan de hand van lid 5 en 6 wordt het subsidiepercentage per deelnemende partij bepaald. Geef aan welk steunpercentage voor de verschillende projectpartners van toepassing is en waarom.</w:t>
      </w:r>
    </w:p>
    <w:p w14:paraId="3214B583" w14:textId="0F1931F3" w:rsidR="00AD746C" w:rsidRDefault="000B4F3D" w:rsidP="00C45078">
      <w:pPr>
        <w:jc w:val="both"/>
      </w:pPr>
      <w:r>
        <w:rPr>
          <w:noProof/>
          <w:lang w:eastAsia="nl-NL"/>
        </w:rPr>
        <w:lastRenderedPageBreak/>
        <mc:AlternateContent>
          <mc:Choice Requires="wps">
            <w:drawing>
              <wp:anchor distT="45720" distB="45720" distL="114300" distR="114300" simplePos="0" relativeHeight="251663360" behindDoc="0" locked="0" layoutInCell="1" allowOverlap="1" wp14:anchorId="549DE8F4" wp14:editId="48FEC2E4">
                <wp:simplePos x="0" y="0"/>
                <wp:positionH relativeFrom="margin">
                  <wp:posOffset>0</wp:posOffset>
                </wp:positionH>
                <wp:positionV relativeFrom="paragraph">
                  <wp:posOffset>220345</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3FCEA8E" w14:textId="466387E6" w:rsidR="000B4F3D" w:rsidRPr="002A62AB" w:rsidRDefault="000B4F3D" w:rsidP="00C45078">
                            <w:pPr>
                              <w:jc w:val="both"/>
                              <w:rPr>
                                <w:b/>
                                <w:bCs/>
                              </w:rPr>
                            </w:pPr>
                            <w:r w:rsidRPr="002A62AB">
                              <w:rPr>
                                <w:b/>
                                <w:bCs/>
                              </w:rPr>
                              <w:t xml:space="preserve">Geef hier aan </w:t>
                            </w:r>
                            <w:r>
                              <w:rPr>
                                <w:b/>
                                <w:bCs/>
                              </w:rPr>
                              <w:t xml:space="preserve">de hand van artikel 40, lid 5 en lid 6, aan welk subsidiepercentage per projectpartner wordt gehanteerd en </w:t>
                            </w:r>
                            <w:r w:rsidRPr="002A62AB">
                              <w:rPr>
                                <w:b/>
                                <w:bCs/>
                              </w:rPr>
                              <w:t>waarom:</w:t>
                            </w:r>
                          </w:p>
                          <w:p w14:paraId="08BF1977" w14:textId="77777777" w:rsidR="000B4F3D" w:rsidRDefault="000B4F3D" w:rsidP="000B4F3D"/>
                          <w:p w14:paraId="26408F79" w14:textId="77777777" w:rsidR="000B4F3D" w:rsidRDefault="000B4F3D" w:rsidP="000B4F3D"/>
                          <w:p w14:paraId="15CCD300" w14:textId="77777777" w:rsidR="000B4F3D" w:rsidRDefault="000B4F3D" w:rsidP="000B4F3D"/>
                          <w:p w14:paraId="6DC769C2" w14:textId="77777777" w:rsidR="000B4F3D" w:rsidRDefault="000B4F3D" w:rsidP="000B4F3D"/>
                          <w:p w14:paraId="1631319D" w14:textId="77777777" w:rsidR="000B4F3D" w:rsidRDefault="000B4F3D" w:rsidP="000B4F3D"/>
                          <w:p w14:paraId="78490A81" w14:textId="77777777" w:rsidR="000B4F3D" w:rsidRDefault="000B4F3D" w:rsidP="000B4F3D"/>
                          <w:p w14:paraId="2524F917" w14:textId="77777777" w:rsidR="000B4F3D" w:rsidRDefault="000B4F3D" w:rsidP="000B4F3D"/>
                          <w:p w14:paraId="1674B582" w14:textId="77777777" w:rsidR="000B4F3D" w:rsidRDefault="000B4F3D" w:rsidP="000B4F3D"/>
                          <w:p w14:paraId="16640103" w14:textId="77777777" w:rsidR="000B4F3D" w:rsidRDefault="000B4F3D" w:rsidP="000B4F3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9DE8F4" id="Tekstvak 4" o:spid="_x0000_s1029" type="#_x0000_t202" style="position:absolute;left:0;text-align:left;margin-left:0;margin-top:17.3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Y&#10;A1nUFQIAACYEAAAOAAAAAAAAAAAAAAAAAC4CAABkcnMvZTJvRG9jLnhtbFBLAQItABQABgAIAAAA&#10;IQAhG+td3AAAAAcBAAAPAAAAAAAAAAAAAAAAAG8EAABkcnMvZG93bnJldi54bWxQSwUGAAAAAAQA&#10;BADzAAAAeAUAAAAA&#10;">
                <v:textbox style="mso-fit-shape-to-text:t">
                  <w:txbxContent>
                    <w:p w14:paraId="33FCEA8E" w14:textId="466387E6" w:rsidR="000B4F3D" w:rsidRPr="002A62AB" w:rsidRDefault="000B4F3D" w:rsidP="00C45078">
                      <w:pPr>
                        <w:jc w:val="both"/>
                        <w:rPr>
                          <w:b/>
                          <w:bCs/>
                        </w:rPr>
                      </w:pPr>
                      <w:r w:rsidRPr="002A62AB">
                        <w:rPr>
                          <w:b/>
                          <w:bCs/>
                        </w:rPr>
                        <w:t xml:space="preserve">Geef hier aan </w:t>
                      </w:r>
                      <w:r>
                        <w:rPr>
                          <w:b/>
                          <w:bCs/>
                        </w:rPr>
                        <w:t xml:space="preserve">de hand van artikel 40, lid 5 en lid 6, aan welk subsidiepercentage per projectpartner wordt gehanteerd en </w:t>
                      </w:r>
                      <w:r w:rsidRPr="002A62AB">
                        <w:rPr>
                          <w:b/>
                          <w:bCs/>
                        </w:rPr>
                        <w:t>waarom:</w:t>
                      </w:r>
                    </w:p>
                    <w:p w14:paraId="08BF1977" w14:textId="77777777" w:rsidR="000B4F3D" w:rsidRDefault="000B4F3D" w:rsidP="000B4F3D"/>
                    <w:p w14:paraId="26408F79" w14:textId="77777777" w:rsidR="000B4F3D" w:rsidRDefault="000B4F3D" w:rsidP="000B4F3D"/>
                    <w:p w14:paraId="15CCD300" w14:textId="77777777" w:rsidR="000B4F3D" w:rsidRDefault="000B4F3D" w:rsidP="000B4F3D"/>
                    <w:p w14:paraId="6DC769C2" w14:textId="77777777" w:rsidR="000B4F3D" w:rsidRDefault="000B4F3D" w:rsidP="000B4F3D"/>
                    <w:p w14:paraId="1631319D" w14:textId="77777777" w:rsidR="000B4F3D" w:rsidRDefault="000B4F3D" w:rsidP="000B4F3D"/>
                    <w:p w14:paraId="78490A81" w14:textId="77777777" w:rsidR="000B4F3D" w:rsidRDefault="000B4F3D" w:rsidP="000B4F3D"/>
                    <w:p w14:paraId="2524F917" w14:textId="77777777" w:rsidR="000B4F3D" w:rsidRDefault="000B4F3D" w:rsidP="000B4F3D"/>
                    <w:p w14:paraId="1674B582" w14:textId="77777777" w:rsidR="000B4F3D" w:rsidRDefault="000B4F3D" w:rsidP="000B4F3D"/>
                    <w:p w14:paraId="16640103" w14:textId="77777777" w:rsidR="000B4F3D" w:rsidRDefault="000B4F3D" w:rsidP="000B4F3D">
                      <w:r>
                        <w:t xml:space="preserve">  </w:t>
                      </w:r>
                    </w:p>
                  </w:txbxContent>
                </v:textbox>
                <w10:wrap type="topAndBottom" anchorx="margin"/>
              </v:shape>
            </w:pict>
          </mc:Fallback>
        </mc:AlternateContent>
      </w:r>
    </w:p>
    <w:p w14:paraId="261E4C18" w14:textId="2ED21D39" w:rsidR="00E7133A" w:rsidRDefault="00E7133A" w:rsidP="00C45078">
      <w:pPr>
        <w:jc w:val="both"/>
      </w:pPr>
    </w:p>
    <w:p w14:paraId="4DB7D50B" w14:textId="2074EFD3" w:rsidR="000B4F3D" w:rsidRDefault="000B4F3D" w:rsidP="00C45078">
      <w:pPr>
        <w:jc w:val="both"/>
      </w:pPr>
    </w:p>
    <w:p w14:paraId="4121298D" w14:textId="77777777" w:rsidR="000B4F3D" w:rsidRDefault="000B4F3D" w:rsidP="00C45078">
      <w:pPr>
        <w:jc w:val="both"/>
      </w:pPr>
    </w:p>
    <w:sectPr w:rsidR="000B4F3D"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293C" w14:textId="77777777" w:rsidR="003547E0" w:rsidRDefault="003547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A8F6" w14:textId="22F68754" w:rsidR="0033751E" w:rsidRDefault="0033751E" w:rsidP="0033751E">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1AF7B2AF" wp14:editId="10F51787">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6" name="Afbeelding 6"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9F6E38">
      <w:rPr>
        <w:rFonts w:asciiTheme="minorHAnsi" w:hAnsiTheme="minorHAnsi" w:cstheme="minorHAnsi"/>
        <w:b/>
        <w:bCs/>
        <w:color w:val="004A99"/>
      </w:rPr>
      <w:t>JTF</w:t>
    </w:r>
    <w:r>
      <w:rPr>
        <w:rFonts w:asciiTheme="minorHAnsi" w:hAnsiTheme="minorHAnsi" w:cstheme="minorHAnsi"/>
        <w:b/>
        <w:bCs/>
        <w:color w:val="004A99"/>
      </w:rPr>
      <w:t xml:space="preserve"> 2021-2027</w:t>
    </w:r>
  </w:p>
  <w:p w14:paraId="316371F2" w14:textId="77777777" w:rsidR="003547E0" w:rsidRDefault="003547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5E2B" w14:textId="77777777" w:rsidR="003547E0" w:rsidRDefault="003547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9F6E38"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6B34448" w14:textId="3D2853AA" w:rsidR="00DA2BA3" w:rsidRDefault="00DA2BA3">
      <w:pPr>
        <w:pStyle w:val="Voetnoottekst"/>
      </w:pPr>
      <w:r>
        <w:rPr>
          <w:rStyle w:val="Voetnootmarkering"/>
        </w:rPr>
        <w:footnoteRef/>
      </w:r>
      <w:r>
        <w:t xml:space="preserve"> punt 72, </w:t>
      </w:r>
      <w:r w:rsidRPr="00E05E57">
        <w:t>Richtsnoeren staatssteun ten behoeve van milieubescherming en energie 2014-2020</w:t>
      </w:r>
      <w:r>
        <w:t xml:space="preserve"> </w:t>
      </w:r>
      <w:r w:rsidRPr="00E05E57">
        <w:t>(2014/C 200/01)</w:t>
      </w:r>
    </w:p>
  </w:footnote>
  <w:footnote w:id="3">
    <w:p w14:paraId="28405FC3" w14:textId="77777777" w:rsidR="00797950" w:rsidRDefault="00797950" w:rsidP="00797950">
      <w:pPr>
        <w:pStyle w:val="Voetnoottekst"/>
      </w:pPr>
      <w:bookmarkStart w:id="7" w:name="_Hlk105152029"/>
      <w:bookmarkStart w:id="8" w:name="_Hlk105152030"/>
      <w:r>
        <w:rPr>
          <w:rStyle w:val="Voetnootmarkering"/>
        </w:rPr>
        <w:footnoteRef/>
      </w:r>
      <w:r>
        <w:t xml:space="preserve"> Zie de website van de Beheerautoriteit voor een overzichtskaart van de a- en c-steungebieden in de betreffende regio.</w:t>
      </w:r>
      <w:bookmarkEnd w:id="7"/>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EB2C" w14:textId="77777777" w:rsidR="003547E0" w:rsidRDefault="003547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7C97" w14:textId="77777777" w:rsidR="003547E0" w:rsidRDefault="003547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A58C" w14:textId="77777777" w:rsidR="003547E0" w:rsidRDefault="003547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8446E"/>
    <w:multiLevelType w:val="hybridMultilevel"/>
    <w:tmpl w:val="0D46B158"/>
    <w:lvl w:ilvl="0" w:tplc="190C4B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6325959">
    <w:abstractNumId w:val="8"/>
  </w:num>
  <w:num w:numId="2" w16cid:durableId="1905795420">
    <w:abstractNumId w:val="4"/>
  </w:num>
  <w:num w:numId="3" w16cid:durableId="1149590155">
    <w:abstractNumId w:val="12"/>
  </w:num>
  <w:num w:numId="4" w16cid:durableId="1246066679">
    <w:abstractNumId w:val="7"/>
  </w:num>
  <w:num w:numId="5" w16cid:durableId="1261796167">
    <w:abstractNumId w:val="0"/>
  </w:num>
  <w:num w:numId="6" w16cid:durableId="794762985">
    <w:abstractNumId w:val="11"/>
  </w:num>
  <w:num w:numId="7" w16cid:durableId="587154418">
    <w:abstractNumId w:val="1"/>
  </w:num>
  <w:num w:numId="8" w16cid:durableId="1648241227">
    <w:abstractNumId w:val="9"/>
  </w:num>
  <w:num w:numId="9" w16cid:durableId="413746657">
    <w:abstractNumId w:val="6"/>
  </w:num>
  <w:num w:numId="10" w16cid:durableId="1042633762">
    <w:abstractNumId w:val="7"/>
  </w:num>
  <w:num w:numId="11" w16cid:durableId="590510529">
    <w:abstractNumId w:val="7"/>
  </w:num>
  <w:num w:numId="12" w16cid:durableId="404692005">
    <w:abstractNumId w:val="2"/>
  </w:num>
  <w:num w:numId="13" w16cid:durableId="417140529">
    <w:abstractNumId w:val="5"/>
  </w:num>
  <w:num w:numId="14" w16cid:durableId="1664774395">
    <w:abstractNumId w:val="10"/>
  </w:num>
  <w:num w:numId="15" w16cid:durableId="1976372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915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4F1B"/>
    <w:rsid w:val="00007469"/>
    <w:rsid w:val="00021666"/>
    <w:rsid w:val="00054720"/>
    <w:rsid w:val="000602E8"/>
    <w:rsid w:val="00072673"/>
    <w:rsid w:val="000953EC"/>
    <w:rsid w:val="000B4F3D"/>
    <w:rsid w:val="000C2858"/>
    <w:rsid w:val="000D1C37"/>
    <w:rsid w:val="000D3E45"/>
    <w:rsid w:val="000F3550"/>
    <w:rsid w:val="00102CAF"/>
    <w:rsid w:val="00102D36"/>
    <w:rsid w:val="00110A65"/>
    <w:rsid w:val="001248A8"/>
    <w:rsid w:val="001955D0"/>
    <w:rsid w:val="00197549"/>
    <w:rsid w:val="00197612"/>
    <w:rsid w:val="001B5BF7"/>
    <w:rsid w:val="001C405B"/>
    <w:rsid w:val="001C517A"/>
    <w:rsid w:val="001D03DE"/>
    <w:rsid w:val="001E376E"/>
    <w:rsid w:val="00201945"/>
    <w:rsid w:val="00211907"/>
    <w:rsid w:val="00233888"/>
    <w:rsid w:val="00267E3F"/>
    <w:rsid w:val="0028560D"/>
    <w:rsid w:val="00296355"/>
    <w:rsid w:val="002A40B7"/>
    <w:rsid w:val="002D7EE3"/>
    <w:rsid w:val="00322785"/>
    <w:rsid w:val="0033751E"/>
    <w:rsid w:val="003408E8"/>
    <w:rsid w:val="003547E0"/>
    <w:rsid w:val="0036762E"/>
    <w:rsid w:val="003812AF"/>
    <w:rsid w:val="003849F9"/>
    <w:rsid w:val="003950D3"/>
    <w:rsid w:val="003C63CD"/>
    <w:rsid w:val="003D6486"/>
    <w:rsid w:val="003F5BAF"/>
    <w:rsid w:val="00406012"/>
    <w:rsid w:val="004138C8"/>
    <w:rsid w:val="0042793D"/>
    <w:rsid w:val="00447DEC"/>
    <w:rsid w:val="00452EBF"/>
    <w:rsid w:val="00454CF1"/>
    <w:rsid w:val="0045511D"/>
    <w:rsid w:val="004622C9"/>
    <w:rsid w:val="00465D20"/>
    <w:rsid w:val="004C441B"/>
    <w:rsid w:val="004C76F8"/>
    <w:rsid w:val="004D55F1"/>
    <w:rsid w:val="004D7111"/>
    <w:rsid w:val="005067DE"/>
    <w:rsid w:val="00507BE7"/>
    <w:rsid w:val="0051003E"/>
    <w:rsid w:val="00524790"/>
    <w:rsid w:val="005258BA"/>
    <w:rsid w:val="005471E0"/>
    <w:rsid w:val="00571B15"/>
    <w:rsid w:val="00571B71"/>
    <w:rsid w:val="005831C5"/>
    <w:rsid w:val="0059771A"/>
    <w:rsid w:val="005B74F1"/>
    <w:rsid w:val="005E6B57"/>
    <w:rsid w:val="005F161A"/>
    <w:rsid w:val="005F34FE"/>
    <w:rsid w:val="005F60F6"/>
    <w:rsid w:val="00621815"/>
    <w:rsid w:val="00627D64"/>
    <w:rsid w:val="00630F0B"/>
    <w:rsid w:val="006571CE"/>
    <w:rsid w:val="00685E27"/>
    <w:rsid w:val="006A53D1"/>
    <w:rsid w:val="006C25E6"/>
    <w:rsid w:val="006D3559"/>
    <w:rsid w:val="006E1C72"/>
    <w:rsid w:val="006E7D69"/>
    <w:rsid w:val="006F05CC"/>
    <w:rsid w:val="006F2F7C"/>
    <w:rsid w:val="006F631B"/>
    <w:rsid w:val="007045B8"/>
    <w:rsid w:val="0070700F"/>
    <w:rsid w:val="00727D1B"/>
    <w:rsid w:val="0075030E"/>
    <w:rsid w:val="007840F7"/>
    <w:rsid w:val="00797950"/>
    <w:rsid w:val="007F5D2B"/>
    <w:rsid w:val="00821A54"/>
    <w:rsid w:val="00822991"/>
    <w:rsid w:val="00834F47"/>
    <w:rsid w:val="008418FE"/>
    <w:rsid w:val="0087642A"/>
    <w:rsid w:val="00881667"/>
    <w:rsid w:val="008858B5"/>
    <w:rsid w:val="00893CDE"/>
    <w:rsid w:val="008C4B99"/>
    <w:rsid w:val="00912F32"/>
    <w:rsid w:val="009173C5"/>
    <w:rsid w:val="009226F1"/>
    <w:rsid w:val="00925438"/>
    <w:rsid w:val="009436D9"/>
    <w:rsid w:val="00995CA7"/>
    <w:rsid w:val="00996F85"/>
    <w:rsid w:val="009D4BD3"/>
    <w:rsid w:val="009D5089"/>
    <w:rsid w:val="009F6E38"/>
    <w:rsid w:val="00A01C22"/>
    <w:rsid w:val="00A30351"/>
    <w:rsid w:val="00A50BB8"/>
    <w:rsid w:val="00A514C7"/>
    <w:rsid w:val="00A76A29"/>
    <w:rsid w:val="00AC7021"/>
    <w:rsid w:val="00AC7AB9"/>
    <w:rsid w:val="00AD746C"/>
    <w:rsid w:val="00AF6D7F"/>
    <w:rsid w:val="00B216D8"/>
    <w:rsid w:val="00B51362"/>
    <w:rsid w:val="00B7512E"/>
    <w:rsid w:val="00B83C70"/>
    <w:rsid w:val="00B969AA"/>
    <w:rsid w:val="00BA3684"/>
    <w:rsid w:val="00BB0726"/>
    <w:rsid w:val="00BB6462"/>
    <w:rsid w:val="00BE151E"/>
    <w:rsid w:val="00C344BC"/>
    <w:rsid w:val="00C45078"/>
    <w:rsid w:val="00C72E38"/>
    <w:rsid w:val="00C80912"/>
    <w:rsid w:val="00C93E9E"/>
    <w:rsid w:val="00CC2F2E"/>
    <w:rsid w:val="00CD1E0D"/>
    <w:rsid w:val="00D1255B"/>
    <w:rsid w:val="00D50567"/>
    <w:rsid w:val="00D548EE"/>
    <w:rsid w:val="00D7141E"/>
    <w:rsid w:val="00D77F74"/>
    <w:rsid w:val="00D842D8"/>
    <w:rsid w:val="00D95557"/>
    <w:rsid w:val="00DA27F6"/>
    <w:rsid w:val="00DA2BA3"/>
    <w:rsid w:val="00DA6C3D"/>
    <w:rsid w:val="00DA7EAA"/>
    <w:rsid w:val="00DB5269"/>
    <w:rsid w:val="00DC212B"/>
    <w:rsid w:val="00DD409F"/>
    <w:rsid w:val="00DE6FEB"/>
    <w:rsid w:val="00E005DA"/>
    <w:rsid w:val="00E01953"/>
    <w:rsid w:val="00E05E57"/>
    <w:rsid w:val="00E161A6"/>
    <w:rsid w:val="00E361D4"/>
    <w:rsid w:val="00E43808"/>
    <w:rsid w:val="00E7133A"/>
    <w:rsid w:val="00E7563F"/>
    <w:rsid w:val="00E832EF"/>
    <w:rsid w:val="00EA2003"/>
    <w:rsid w:val="00EB3E63"/>
    <w:rsid w:val="00EC2A89"/>
    <w:rsid w:val="00EE515E"/>
    <w:rsid w:val="00EF4900"/>
    <w:rsid w:val="00F13C3C"/>
    <w:rsid w:val="00F23A27"/>
    <w:rsid w:val="00F43C11"/>
    <w:rsid w:val="00F5399E"/>
    <w:rsid w:val="00F55147"/>
    <w:rsid w:val="00F600BE"/>
    <w:rsid w:val="00F953EF"/>
    <w:rsid w:val="00FA3B14"/>
    <w:rsid w:val="00FA4F00"/>
    <w:rsid w:val="00FB0384"/>
    <w:rsid w:val="00FB3AB1"/>
    <w:rsid w:val="00FB42F5"/>
    <w:rsid w:val="00FC5B0E"/>
    <w:rsid w:val="00FC7982"/>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3F5BAF"/>
    <w:rPr>
      <w:sz w:val="16"/>
      <w:szCs w:val="16"/>
    </w:rPr>
  </w:style>
  <w:style w:type="paragraph" w:styleId="Tekstopmerking">
    <w:name w:val="annotation text"/>
    <w:basedOn w:val="Standaard"/>
    <w:link w:val="TekstopmerkingChar"/>
    <w:uiPriority w:val="99"/>
    <w:semiHidden/>
    <w:unhideWhenUsed/>
    <w:rsid w:val="003F5BAF"/>
    <w:pPr>
      <w:spacing w:line="240" w:lineRule="auto"/>
    </w:pPr>
    <w:rPr>
      <w:szCs w:val="20"/>
    </w:rPr>
  </w:style>
  <w:style w:type="character" w:customStyle="1" w:styleId="TekstopmerkingChar">
    <w:name w:val="Tekst opmerking Char"/>
    <w:basedOn w:val="Standaardalinea-lettertype"/>
    <w:link w:val="Tekstopmerking"/>
    <w:uiPriority w:val="99"/>
    <w:semiHidden/>
    <w:rsid w:val="003F5BAF"/>
    <w:rPr>
      <w:szCs w:val="20"/>
    </w:rPr>
  </w:style>
  <w:style w:type="paragraph" w:styleId="Onderwerpvanopmerking">
    <w:name w:val="annotation subject"/>
    <w:basedOn w:val="Tekstopmerking"/>
    <w:next w:val="Tekstopmerking"/>
    <w:link w:val="OnderwerpvanopmerkingChar"/>
    <w:uiPriority w:val="99"/>
    <w:semiHidden/>
    <w:unhideWhenUsed/>
    <w:rsid w:val="003F5BAF"/>
    <w:rPr>
      <w:b/>
      <w:bCs/>
    </w:rPr>
  </w:style>
  <w:style w:type="character" w:customStyle="1" w:styleId="OnderwerpvanopmerkingChar">
    <w:name w:val="Onderwerp van opmerking Char"/>
    <w:basedOn w:val="TekstopmerkingChar"/>
    <w:link w:val="Onderwerpvanopmerking"/>
    <w:uiPriority w:val="99"/>
    <w:semiHidden/>
    <w:rsid w:val="003F5BAF"/>
    <w:rPr>
      <w:b/>
      <w:bCs/>
      <w:szCs w:val="20"/>
    </w:rPr>
  </w:style>
  <w:style w:type="paragraph" w:styleId="Revisie">
    <w:name w:val="Revision"/>
    <w:hidden/>
    <w:uiPriority w:val="99"/>
    <w:semiHidden/>
    <w:rsid w:val="003F5BAF"/>
    <w:pPr>
      <w:spacing w:line="240" w:lineRule="auto"/>
      <w:ind w:left="0" w:firstLine="0"/>
    </w:pPr>
  </w:style>
  <w:style w:type="character" w:styleId="Hyperlink">
    <w:name w:val="Hyperlink"/>
    <w:basedOn w:val="Standaardalinea-lettertype"/>
    <w:uiPriority w:val="99"/>
    <w:unhideWhenUsed/>
    <w:rsid w:val="0070700F"/>
    <w:rPr>
      <w:color w:val="0000FF"/>
      <w:u w:val="single"/>
    </w:rPr>
  </w:style>
  <w:style w:type="paragraph" w:styleId="Koptekst">
    <w:name w:val="header"/>
    <w:basedOn w:val="Standaard"/>
    <w:link w:val="KoptekstChar"/>
    <w:uiPriority w:val="99"/>
    <w:unhideWhenUsed/>
    <w:rsid w:val="003547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5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79350">
      <w:bodyDiv w:val="1"/>
      <w:marLeft w:val="0"/>
      <w:marRight w:val="0"/>
      <w:marTop w:val="0"/>
      <w:marBottom w:val="0"/>
      <w:divBdr>
        <w:top w:val="none" w:sz="0" w:space="0" w:color="auto"/>
        <w:left w:val="none" w:sz="0" w:space="0" w:color="auto"/>
        <w:bottom w:val="none" w:sz="0" w:space="0" w:color="auto"/>
        <w:right w:val="none" w:sz="0" w:space="0" w:color="auto"/>
      </w:divBdr>
      <w:divsChild>
        <w:div w:id="913976898">
          <w:marLeft w:val="0"/>
          <w:marRight w:val="0"/>
          <w:marTop w:val="0"/>
          <w:marBottom w:val="0"/>
          <w:divBdr>
            <w:top w:val="none" w:sz="0" w:space="0" w:color="auto"/>
            <w:left w:val="none" w:sz="0" w:space="0" w:color="auto"/>
            <w:bottom w:val="none" w:sz="0" w:space="0" w:color="auto"/>
            <w:right w:val="none" w:sz="0" w:space="0" w:color="auto"/>
          </w:divBdr>
          <w:divsChild>
            <w:div w:id="1594316377">
              <w:marLeft w:val="0"/>
              <w:marRight w:val="0"/>
              <w:marTop w:val="0"/>
              <w:marBottom w:val="0"/>
              <w:divBdr>
                <w:top w:val="none" w:sz="0" w:space="0" w:color="auto"/>
                <w:left w:val="none" w:sz="0" w:space="0" w:color="auto"/>
                <w:bottom w:val="none" w:sz="0" w:space="0" w:color="auto"/>
                <w:right w:val="none" w:sz="0" w:space="0" w:color="auto"/>
              </w:divBdr>
              <w:divsChild>
                <w:div w:id="1186404451">
                  <w:marLeft w:val="0"/>
                  <w:marRight w:val="0"/>
                  <w:marTop w:val="0"/>
                  <w:marBottom w:val="0"/>
                  <w:divBdr>
                    <w:top w:val="none" w:sz="0" w:space="0" w:color="auto"/>
                    <w:left w:val="none" w:sz="0" w:space="0" w:color="auto"/>
                    <w:bottom w:val="none" w:sz="0" w:space="0" w:color="auto"/>
                    <w:right w:val="none" w:sz="0" w:space="0" w:color="auto"/>
                  </w:divBdr>
                  <w:divsChild>
                    <w:div w:id="843665765">
                      <w:marLeft w:val="0"/>
                      <w:marRight w:val="0"/>
                      <w:marTop w:val="120"/>
                      <w:marBottom w:val="0"/>
                      <w:divBdr>
                        <w:top w:val="none" w:sz="0" w:space="0" w:color="auto"/>
                        <w:left w:val="none" w:sz="0" w:space="0" w:color="auto"/>
                        <w:bottom w:val="none" w:sz="0" w:space="0" w:color="auto"/>
                        <w:right w:val="none" w:sz="0" w:space="0" w:color="auto"/>
                      </w:divBdr>
                    </w:div>
                    <w:div w:id="797793772">
                      <w:marLeft w:val="0"/>
                      <w:marRight w:val="0"/>
                      <w:marTop w:val="0"/>
                      <w:marBottom w:val="0"/>
                      <w:divBdr>
                        <w:top w:val="none" w:sz="0" w:space="0" w:color="auto"/>
                        <w:left w:val="none" w:sz="0" w:space="0" w:color="auto"/>
                        <w:bottom w:val="none" w:sz="0" w:space="0" w:color="auto"/>
                        <w:right w:val="none" w:sz="0" w:space="0" w:color="auto"/>
                      </w:divBdr>
                    </w:div>
                  </w:divsChild>
                </w:div>
                <w:div w:id="968050162">
                  <w:marLeft w:val="0"/>
                  <w:marRight w:val="0"/>
                  <w:marTop w:val="0"/>
                  <w:marBottom w:val="0"/>
                  <w:divBdr>
                    <w:top w:val="none" w:sz="0" w:space="0" w:color="auto"/>
                    <w:left w:val="none" w:sz="0" w:space="0" w:color="auto"/>
                    <w:bottom w:val="none" w:sz="0" w:space="0" w:color="auto"/>
                    <w:right w:val="none" w:sz="0" w:space="0" w:color="auto"/>
                  </w:divBdr>
                  <w:divsChild>
                    <w:div w:id="342972163">
                      <w:marLeft w:val="0"/>
                      <w:marRight w:val="0"/>
                      <w:marTop w:val="120"/>
                      <w:marBottom w:val="0"/>
                      <w:divBdr>
                        <w:top w:val="none" w:sz="0" w:space="0" w:color="auto"/>
                        <w:left w:val="none" w:sz="0" w:space="0" w:color="auto"/>
                        <w:bottom w:val="none" w:sz="0" w:space="0" w:color="auto"/>
                        <w:right w:val="none" w:sz="0" w:space="0" w:color="auto"/>
                      </w:divBdr>
                    </w:div>
                    <w:div w:id="950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24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DB81-C71B-47F0-B406-9ADDA6A3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1057</Words>
  <Characters>5815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9</cp:revision>
  <cp:lastPrinted>2019-11-18T13:40:00Z</cp:lastPrinted>
  <dcterms:created xsi:type="dcterms:W3CDTF">2022-05-11T11:15:00Z</dcterms:created>
  <dcterms:modified xsi:type="dcterms:W3CDTF">2022-11-25T09:47:00Z</dcterms:modified>
</cp:coreProperties>
</file>