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BF04" w14:textId="77777777" w:rsidR="00D034A9" w:rsidRDefault="00115A95" w:rsidP="00D034A9">
      <w:pPr>
        <w:jc w:val="both"/>
        <w:rPr>
          <w:rStyle w:val="Kop1Char"/>
          <w:b/>
          <w:bCs/>
          <w:sz w:val="28"/>
          <w:szCs w:val="28"/>
        </w:rPr>
      </w:pPr>
      <w:bookmarkStart w:id="0" w:name="_Hlk87387065"/>
      <w:r w:rsidRPr="00C76D71">
        <w:rPr>
          <w:rStyle w:val="Kop1Char"/>
          <w:b/>
          <w:bCs/>
          <w:sz w:val="28"/>
          <w:szCs w:val="28"/>
        </w:rPr>
        <w:t>Formulier staatssteunanalyse</w:t>
      </w:r>
      <w:bookmarkEnd w:id="0"/>
    </w:p>
    <w:p w14:paraId="227320D3" w14:textId="167E0C4B" w:rsidR="00115A95" w:rsidRPr="00326FA1" w:rsidRDefault="00115A95" w:rsidP="00D034A9">
      <w:pPr>
        <w:jc w:val="both"/>
        <w:rPr>
          <w:b/>
          <w:bCs/>
          <w:sz w:val="24"/>
          <w:szCs w:val="24"/>
        </w:rPr>
      </w:pPr>
      <w:r>
        <w:rPr>
          <w:b/>
          <w:bCs/>
          <w:sz w:val="24"/>
          <w:szCs w:val="24"/>
        </w:rPr>
        <w:br/>
      </w:r>
      <w:r w:rsidRPr="00326FA1">
        <w:rPr>
          <w:b/>
          <w:bCs/>
          <w:sz w:val="24"/>
          <w:szCs w:val="24"/>
        </w:rPr>
        <w:t xml:space="preserve">artikel </w:t>
      </w:r>
      <w:r>
        <w:rPr>
          <w:b/>
          <w:bCs/>
          <w:sz w:val="24"/>
          <w:szCs w:val="24"/>
        </w:rPr>
        <w:t>4</w:t>
      </w:r>
      <w:r w:rsidR="00D034A9">
        <w:rPr>
          <w:b/>
          <w:bCs/>
          <w:sz w:val="24"/>
          <w:szCs w:val="24"/>
        </w:rPr>
        <w:t>2</w:t>
      </w:r>
      <w:r>
        <w:rPr>
          <w:b/>
          <w:bCs/>
          <w:sz w:val="24"/>
          <w:szCs w:val="24"/>
        </w:rPr>
        <w:t>:</w:t>
      </w:r>
      <w:r w:rsidR="00D034A9">
        <w:rPr>
          <w:b/>
          <w:bCs/>
          <w:sz w:val="24"/>
          <w:szCs w:val="24"/>
        </w:rPr>
        <w:t xml:space="preserve"> exploitatiesteun </w:t>
      </w:r>
      <w:r w:rsidR="00D034A9" w:rsidRPr="00D034A9">
        <w:rPr>
          <w:b/>
          <w:bCs/>
          <w:sz w:val="24"/>
          <w:szCs w:val="24"/>
        </w:rPr>
        <w:t>ter bevordering van elektriciteit uit hernieuwbare</w:t>
      </w:r>
      <w:r w:rsidR="00D034A9">
        <w:rPr>
          <w:b/>
          <w:bCs/>
          <w:sz w:val="24"/>
          <w:szCs w:val="24"/>
        </w:rPr>
        <w:t xml:space="preserve"> </w:t>
      </w:r>
      <w:r w:rsidR="00D034A9" w:rsidRPr="00D034A9">
        <w:rPr>
          <w:b/>
          <w:bCs/>
          <w:sz w:val="24"/>
          <w:szCs w:val="24"/>
        </w:rPr>
        <w:t>energiebronnen</w:t>
      </w:r>
    </w:p>
    <w:p w14:paraId="5FC7A808" w14:textId="77777777" w:rsidR="00115A95" w:rsidRDefault="00115A95" w:rsidP="00102CAF"/>
    <w:p w14:paraId="77BCD638" w14:textId="71A6F336" w:rsidR="00115A95" w:rsidRDefault="00115A95" w:rsidP="00102CAF"/>
    <w:p w14:paraId="3DDABFCB" w14:textId="77777777" w:rsidR="00115A95" w:rsidRPr="00615E39" w:rsidRDefault="00115A95" w:rsidP="00504551">
      <w:pPr>
        <w:jc w:val="both"/>
        <w:rPr>
          <w:b/>
          <w:bCs/>
          <w:u w:val="single"/>
        </w:rPr>
      </w:pPr>
      <w:bookmarkStart w:id="1" w:name="_Hlk87386336"/>
      <w:r w:rsidRPr="00615E39">
        <w:rPr>
          <w:b/>
          <w:bCs/>
          <w:u w:val="single"/>
        </w:rPr>
        <w:t>Inleiding</w:t>
      </w:r>
    </w:p>
    <w:p w14:paraId="0BFCA538" w14:textId="73EE0A0D" w:rsidR="00115A95" w:rsidRPr="00495FA1" w:rsidRDefault="00115A95" w:rsidP="00504551">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65AF9FB" w14:textId="77777777" w:rsidR="00115A95" w:rsidRPr="00495FA1" w:rsidRDefault="00115A95" w:rsidP="00504551">
      <w:pPr>
        <w:jc w:val="both"/>
      </w:pPr>
    </w:p>
    <w:p w14:paraId="5E42CCAC" w14:textId="77777777" w:rsidR="00D034A9" w:rsidRDefault="00115A95" w:rsidP="00504551">
      <w:pPr>
        <w:jc w:val="both"/>
      </w:pPr>
      <w:r w:rsidRPr="00495FA1">
        <w:t>Eén van de artikelen die gebruikt k</w:t>
      </w:r>
      <w:r>
        <w:t>an</w:t>
      </w:r>
      <w:r w:rsidRPr="00495FA1">
        <w:t xml:space="preserve"> worden is artikel </w:t>
      </w:r>
      <w:r>
        <w:t>4</w:t>
      </w:r>
      <w:r w:rsidR="00D034A9">
        <w:t>2</w:t>
      </w:r>
      <w:r w:rsidRPr="00495FA1">
        <w:t xml:space="preserve">. Dit artikel gaat over </w:t>
      </w:r>
      <w:r w:rsidR="00D034A9" w:rsidRPr="00D034A9">
        <w:t>exploitatiesteun ter bevordering van elektriciteit uit hernieuwbare energiebronnen</w:t>
      </w:r>
      <w:r w:rsidR="00504551">
        <w:t>.</w:t>
      </w:r>
    </w:p>
    <w:p w14:paraId="1B350B92" w14:textId="43B2BBB9" w:rsidR="00115A95" w:rsidRDefault="00115A95" w:rsidP="00504551">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4</w:t>
      </w:r>
      <w:r w:rsidR="00D034A9">
        <w:t>2</w:t>
      </w:r>
      <w:r w:rsidRPr="00495FA1">
        <w:t xml:space="preserve">, aan te geven waarom het project voldoet aan de gestelde voorwaarden. </w:t>
      </w:r>
      <w:r>
        <w:br/>
      </w:r>
    </w:p>
    <w:p w14:paraId="5D099D67" w14:textId="77777777" w:rsidR="00115A95" w:rsidRDefault="00115A95" w:rsidP="00504551">
      <w:pPr>
        <w:jc w:val="both"/>
      </w:pPr>
      <w:r>
        <w:t xml:space="preserve">Let op: u geeft een toelichting in de tekstblokken.  </w:t>
      </w:r>
    </w:p>
    <w:p w14:paraId="0F694937" w14:textId="2F8427E0" w:rsidR="00115A95" w:rsidRDefault="00115A95" w:rsidP="00504551">
      <w:pPr>
        <w:jc w:val="both"/>
        <w:rPr>
          <w:b/>
          <w:bCs/>
          <w:i/>
          <w:iCs/>
          <w:u w:val="single"/>
        </w:rPr>
      </w:pPr>
      <w:bookmarkStart w:id="3" w:name="_Hlk87387140"/>
      <w:bookmarkEnd w:id="1"/>
    </w:p>
    <w:p w14:paraId="7BFA7F0F" w14:textId="77777777" w:rsidR="00844448" w:rsidRDefault="00844448" w:rsidP="00504551">
      <w:pPr>
        <w:jc w:val="both"/>
        <w:rPr>
          <w:b/>
          <w:bCs/>
          <w:i/>
          <w:iCs/>
          <w:u w:val="single"/>
        </w:rPr>
      </w:pPr>
    </w:p>
    <w:p w14:paraId="38BC6C11" w14:textId="20ED61EB" w:rsidR="00115A95" w:rsidRDefault="00115A95" w:rsidP="002C17E5">
      <w:pPr>
        <w:jc w:val="both"/>
      </w:pPr>
      <w:r w:rsidRPr="00326FA1">
        <w:rPr>
          <w:b/>
          <w:bCs/>
          <w:i/>
          <w:iCs/>
          <w:u w:val="single"/>
        </w:rPr>
        <w:t xml:space="preserve">Art </w:t>
      </w:r>
      <w:r>
        <w:rPr>
          <w:b/>
          <w:bCs/>
          <w:i/>
          <w:iCs/>
          <w:u w:val="single"/>
        </w:rPr>
        <w:t>4</w:t>
      </w:r>
      <w:r w:rsidR="00D034A9">
        <w:rPr>
          <w:b/>
          <w:bCs/>
          <w:i/>
          <w:iCs/>
          <w:u w:val="single"/>
        </w:rPr>
        <w:t>2</w:t>
      </w:r>
      <w:r w:rsidRPr="00326FA1">
        <w:rPr>
          <w:b/>
          <w:bCs/>
          <w:i/>
          <w:iCs/>
          <w:u w:val="single"/>
        </w:rPr>
        <w:t>, lid 1:</w:t>
      </w:r>
      <w:bookmarkEnd w:id="3"/>
    </w:p>
    <w:p w14:paraId="550095E3" w14:textId="7F31CC39" w:rsidR="00D034A9" w:rsidRDefault="00894ACB" w:rsidP="002C17E5">
      <w:pPr>
        <w:jc w:val="both"/>
      </w:pPr>
      <w:r w:rsidRPr="00894ACB">
        <w:rPr>
          <w:i/>
          <w:iCs/>
        </w:rPr>
        <w:t>Exploitatiesteun ter bevordering van elektriciteit uit hernieuwbare energiebronnen, met uitzondering van elektriciteit uit hernieuwbare waterstof, is verenigbaar met de interne markt in de zin van artikel 107, lid 3, van het Verdrag en is van de aanmeldingsverplichting van artikel 108, lid 3, van het Verdrag vrijgesteld, mits de in dit artikel en in hoofdstuk I vastgestelde voorwaarden zijn vervuld.</w:t>
      </w:r>
    </w:p>
    <w:p w14:paraId="1EF83807" w14:textId="77777777" w:rsidR="00FA4764" w:rsidRDefault="00FA4764" w:rsidP="002C17E5">
      <w:pPr>
        <w:jc w:val="both"/>
        <w:rPr>
          <w:b/>
          <w:bCs/>
        </w:rPr>
      </w:pPr>
    </w:p>
    <w:p w14:paraId="565D6BBE" w14:textId="77777777" w:rsidR="00FA4764" w:rsidRDefault="00FA4764" w:rsidP="002C17E5">
      <w:pPr>
        <w:jc w:val="both"/>
        <w:rPr>
          <w:b/>
          <w:bCs/>
        </w:rPr>
      </w:pPr>
    </w:p>
    <w:p w14:paraId="14378338" w14:textId="338A2941" w:rsidR="00844448" w:rsidRPr="00844448" w:rsidRDefault="00844448" w:rsidP="002C17E5">
      <w:pPr>
        <w:jc w:val="both"/>
        <w:rPr>
          <w:b/>
          <w:bCs/>
        </w:rPr>
      </w:pPr>
      <w:r w:rsidRPr="00844448">
        <w:rPr>
          <w:b/>
          <w:bCs/>
        </w:rPr>
        <w:t>Toelichting</w:t>
      </w:r>
    </w:p>
    <w:p w14:paraId="6891DC69" w14:textId="780FC537" w:rsidR="002C17E5" w:rsidRDefault="00844448" w:rsidP="002C17E5">
      <w:pPr>
        <w:jc w:val="both"/>
      </w:pPr>
      <w:r>
        <w:t>U dient</w:t>
      </w:r>
      <w:r w:rsidRPr="009173C5">
        <w:t xml:space="preserve"> </w:t>
      </w:r>
      <w:r>
        <w:t xml:space="preserve">te onderbouwen dat het project </w:t>
      </w:r>
      <w:r w:rsidRPr="00511F93">
        <w:t>e</w:t>
      </w:r>
      <w:r w:rsidR="00D034A9">
        <w:t>lektriciteit</w:t>
      </w:r>
      <w:r w:rsidRPr="00511F93">
        <w:t xml:space="preserve"> uit hernieuwbare energiebronnen</w:t>
      </w:r>
      <w:r>
        <w:t xml:space="preserve"> betreft. We wijzen hierbij op de volgende definitie:</w:t>
      </w:r>
    </w:p>
    <w:p w14:paraId="2F805271" w14:textId="3F2C929F" w:rsidR="00844448" w:rsidRDefault="00844448" w:rsidP="00D034A9">
      <w:pPr>
        <w:jc w:val="both"/>
      </w:pPr>
    </w:p>
    <w:p w14:paraId="254FABD8" w14:textId="7D0C5EEE" w:rsidR="00115A95" w:rsidRDefault="00894ACB" w:rsidP="002C17E5">
      <w:pPr>
        <w:jc w:val="both"/>
      </w:pPr>
      <w:r w:rsidRPr="00894ACB">
        <w:t>“energie uit hernieuwbare bronnen” of “hernieuwbare energie”: energie opgewekt met installaties waarbij uitsluitend van hernieuwbare energiebronnen zoals gedefinieerd in artikel 2, punt 1, van Richtlijn (EU) 2018/2001 wordt gebruikgemaakt, alsmede het aandeel in calorische waarde van de met hernieuwbare energiebronnen in hybride installaties opgewekte energie die ook op conventionele energiebronnen werken. Hieronder valt ook hernieuwbare elektriciteit die wordt gebruikt voor “achter de meter” aangesloten accumulatiesystemen (geïnstalleerd samen met of als uitbreiding van de hernieuwbare installatie), doch niet elektriciteit die van dergelijke systemen afkomstig is;</w:t>
      </w:r>
    </w:p>
    <w:p w14:paraId="2062DACB" w14:textId="34F04216" w:rsidR="00E7133A" w:rsidRDefault="00EC4CD0" w:rsidP="002C17E5">
      <w:pPr>
        <w:jc w:val="both"/>
      </w:pPr>
      <w:r>
        <w:rPr>
          <w:noProof/>
          <w:lang w:eastAsia="nl-NL"/>
        </w:rPr>
        <w:lastRenderedPageBreak/>
        <mc:AlternateContent>
          <mc:Choice Requires="wps">
            <w:drawing>
              <wp:anchor distT="45720" distB="45720" distL="114300" distR="114300" simplePos="0" relativeHeight="251667456" behindDoc="0" locked="0" layoutInCell="1" allowOverlap="1" wp14:anchorId="00241B91" wp14:editId="0442276D">
                <wp:simplePos x="0" y="0"/>
                <wp:positionH relativeFrom="margin">
                  <wp:posOffset>0</wp:posOffset>
                </wp:positionH>
                <wp:positionV relativeFrom="paragraph">
                  <wp:posOffset>220345</wp:posOffset>
                </wp:positionV>
                <wp:extent cx="5405119" cy="634364"/>
                <wp:effectExtent l="0" t="0" r="24765" b="2667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880397D" w14:textId="10F1EC5E" w:rsidR="00EC4CD0" w:rsidRPr="002A62AB" w:rsidRDefault="00EC4CD0" w:rsidP="00EC4CD0">
                            <w:pPr>
                              <w:jc w:val="both"/>
                              <w:rPr>
                                <w:b/>
                                <w:bCs/>
                              </w:rPr>
                            </w:pPr>
                            <w:r w:rsidRPr="002A62AB">
                              <w:rPr>
                                <w:b/>
                                <w:bCs/>
                              </w:rPr>
                              <w:t>Geef hier aan w</w:t>
                            </w:r>
                            <w:r>
                              <w:rPr>
                                <w:b/>
                                <w:bCs/>
                              </w:rPr>
                              <w:t xml:space="preserve">aarom sprake is van </w:t>
                            </w:r>
                            <w:r w:rsidRPr="00EC4CD0">
                              <w:rPr>
                                <w:b/>
                                <w:bCs/>
                              </w:rPr>
                              <w:t>elektriciteit uit hernieuwbare energiebronnen</w:t>
                            </w:r>
                            <w:r>
                              <w:rPr>
                                <w:b/>
                                <w:bCs/>
                              </w:rPr>
                              <w:t>, conform bovenstaande definitie</w:t>
                            </w:r>
                            <w:r w:rsidRPr="002A62AB">
                              <w:rPr>
                                <w:b/>
                                <w:bCs/>
                              </w:rPr>
                              <w:t>:</w:t>
                            </w:r>
                          </w:p>
                          <w:p w14:paraId="3A2A2FBA" w14:textId="77777777" w:rsidR="00EC4CD0" w:rsidRPr="002A62AB" w:rsidRDefault="00EC4CD0" w:rsidP="00EC4CD0">
                            <w:pPr>
                              <w:rPr>
                                <w:b/>
                                <w:bCs/>
                              </w:rPr>
                            </w:pPr>
                          </w:p>
                          <w:p w14:paraId="7F75B8B3" w14:textId="77777777" w:rsidR="00EC4CD0" w:rsidRDefault="00EC4CD0" w:rsidP="00EC4CD0"/>
                          <w:p w14:paraId="623BABD4" w14:textId="77777777" w:rsidR="00EC4CD0" w:rsidRDefault="00EC4CD0" w:rsidP="00EC4CD0"/>
                          <w:p w14:paraId="263BC726" w14:textId="77777777" w:rsidR="00EC4CD0" w:rsidRDefault="00EC4CD0" w:rsidP="00EC4CD0"/>
                          <w:p w14:paraId="5E53BC31" w14:textId="77777777" w:rsidR="00EC4CD0" w:rsidRDefault="00EC4CD0" w:rsidP="00EC4CD0"/>
                          <w:p w14:paraId="4D679744" w14:textId="77777777" w:rsidR="00EC4CD0" w:rsidRDefault="00EC4CD0" w:rsidP="00EC4CD0"/>
                          <w:p w14:paraId="1A22E206" w14:textId="77777777" w:rsidR="00EC4CD0" w:rsidRDefault="00EC4CD0" w:rsidP="00EC4CD0"/>
                          <w:p w14:paraId="4745BD3F" w14:textId="77777777" w:rsidR="00EC4CD0" w:rsidRDefault="00EC4CD0" w:rsidP="00EC4CD0"/>
                          <w:p w14:paraId="5979F526" w14:textId="77777777" w:rsidR="00EC4CD0" w:rsidRDefault="00EC4CD0" w:rsidP="00EC4CD0"/>
                          <w:p w14:paraId="36BE95C9" w14:textId="77777777" w:rsidR="00EC4CD0" w:rsidRDefault="00EC4CD0" w:rsidP="00EC4CD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41B91" id="_x0000_t202" coordsize="21600,21600" o:spt="202" path="m,l,21600r21600,l21600,xe">
                <v:stroke joinstyle="miter"/>
                <v:path gradientshapeok="t" o:connecttype="rect"/>
              </v:shapetype>
              <v:shape id="Tekstvak 8" o:spid="_x0000_s1026" type="#_x0000_t202" style="position:absolute;left:0;text-align:left;margin-left:0;margin-top:17.35pt;width:425.6pt;height:49.9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">
                <v:textbox style="mso-fit-shape-to-text:t">
                  <w:txbxContent>
                    <w:p w14:paraId="0880397D" w14:textId="10F1EC5E" w:rsidR="00EC4CD0" w:rsidRPr="002A62AB" w:rsidRDefault="00EC4CD0" w:rsidP="00EC4CD0">
                      <w:pPr>
                        <w:jc w:val="both"/>
                        <w:rPr>
                          <w:b/>
                          <w:bCs/>
                        </w:rPr>
                      </w:pPr>
                      <w:r w:rsidRPr="002A62AB">
                        <w:rPr>
                          <w:b/>
                          <w:bCs/>
                        </w:rPr>
                        <w:t>Geef hier aan w</w:t>
                      </w:r>
                      <w:r>
                        <w:rPr>
                          <w:b/>
                          <w:bCs/>
                        </w:rPr>
                        <w:t xml:space="preserve">aarom sprake is van </w:t>
                      </w:r>
                      <w:r w:rsidRPr="00EC4CD0">
                        <w:rPr>
                          <w:b/>
                          <w:bCs/>
                        </w:rPr>
                        <w:t>elektriciteit uit hernieuwbare energiebronnen</w:t>
                      </w:r>
                      <w:r>
                        <w:rPr>
                          <w:b/>
                          <w:bCs/>
                        </w:rPr>
                        <w:t>, conform bovenstaande definitie</w:t>
                      </w:r>
                      <w:r w:rsidRPr="002A62AB">
                        <w:rPr>
                          <w:b/>
                          <w:bCs/>
                        </w:rPr>
                        <w:t>:</w:t>
                      </w:r>
                    </w:p>
                    <w:p w14:paraId="3A2A2FBA" w14:textId="77777777" w:rsidR="00EC4CD0" w:rsidRPr="002A62AB" w:rsidRDefault="00EC4CD0" w:rsidP="00EC4CD0">
                      <w:pPr>
                        <w:rPr>
                          <w:b/>
                          <w:bCs/>
                        </w:rPr>
                      </w:pPr>
                    </w:p>
                    <w:p w14:paraId="7F75B8B3" w14:textId="77777777" w:rsidR="00EC4CD0" w:rsidRDefault="00EC4CD0" w:rsidP="00EC4CD0"/>
                    <w:p w14:paraId="623BABD4" w14:textId="77777777" w:rsidR="00EC4CD0" w:rsidRDefault="00EC4CD0" w:rsidP="00EC4CD0"/>
                    <w:p w14:paraId="263BC726" w14:textId="77777777" w:rsidR="00EC4CD0" w:rsidRDefault="00EC4CD0" w:rsidP="00EC4CD0"/>
                    <w:p w14:paraId="5E53BC31" w14:textId="77777777" w:rsidR="00EC4CD0" w:rsidRDefault="00EC4CD0" w:rsidP="00EC4CD0"/>
                    <w:p w14:paraId="4D679744" w14:textId="77777777" w:rsidR="00EC4CD0" w:rsidRDefault="00EC4CD0" w:rsidP="00EC4CD0"/>
                    <w:p w14:paraId="1A22E206" w14:textId="77777777" w:rsidR="00EC4CD0" w:rsidRDefault="00EC4CD0" w:rsidP="00EC4CD0"/>
                    <w:p w14:paraId="4745BD3F" w14:textId="77777777" w:rsidR="00EC4CD0" w:rsidRDefault="00EC4CD0" w:rsidP="00EC4CD0"/>
                    <w:p w14:paraId="5979F526" w14:textId="77777777" w:rsidR="00EC4CD0" w:rsidRDefault="00EC4CD0" w:rsidP="00EC4CD0"/>
                    <w:p w14:paraId="36BE95C9" w14:textId="77777777" w:rsidR="00EC4CD0" w:rsidRDefault="00EC4CD0" w:rsidP="00EC4CD0">
                      <w:r>
                        <w:t xml:space="preserve">  </w:t>
                      </w:r>
                    </w:p>
                  </w:txbxContent>
                </v:textbox>
                <w10:wrap type="topAndBottom" anchorx="margin"/>
              </v:shape>
            </w:pict>
          </mc:Fallback>
        </mc:AlternateContent>
      </w:r>
    </w:p>
    <w:p w14:paraId="14BF4329" w14:textId="77777777" w:rsidR="00EC4CD0" w:rsidRDefault="00EC4CD0" w:rsidP="002C17E5">
      <w:pPr>
        <w:jc w:val="both"/>
      </w:pPr>
    </w:p>
    <w:p w14:paraId="15F35B83" w14:textId="1B89A171" w:rsidR="00115A95" w:rsidRDefault="00115A95" w:rsidP="002C17E5">
      <w:pPr>
        <w:jc w:val="both"/>
      </w:pPr>
      <w:r w:rsidRPr="00326FA1">
        <w:rPr>
          <w:b/>
          <w:bCs/>
          <w:i/>
          <w:iCs/>
          <w:u w:val="single"/>
        </w:rPr>
        <w:t xml:space="preserve">Art </w:t>
      </w:r>
      <w:r>
        <w:rPr>
          <w:b/>
          <w:bCs/>
          <w:i/>
          <w:iCs/>
          <w:u w:val="single"/>
        </w:rPr>
        <w:t>4</w:t>
      </w:r>
      <w:r w:rsidR="00D034A9">
        <w:rPr>
          <w:b/>
          <w:bCs/>
          <w:i/>
          <w:iCs/>
          <w:u w:val="single"/>
        </w:rPr>
        <w:t>2</w:t>
      </w:r>
      <w:r w:rsidRPr="00326FA1">
        <w:rPr>
          <w:b/>
          <w:bCs/>
          <w:i/>
          <w:iCs/>
          <w:u w:val="single"/>
        </w:rPr>
        <w:t xml:space="preserve">, lid </w:t>
      </w:r>
      <w:r>
        <w:rPr>
          <w:b/>
          <w:bCs/>
          <w:i/>
          <w:iCs/>
          <w:u w:val="single"/>
        </w:rPr>
        <w:t>2</w:t>
      </w:r>
      <w:r w:rsidRPr="00326FA1">
        <w:rPr>
          <w:b/>
          <w:bCs/>
          <w:i/>
          <w:iCs/>
          <w:u w:val="single"/>
        </w:rPr>
        <w:t>:</w:t>
      </w:r>
    </w:p>
    <w:p w14:paraId="167C7397" w14:textId="77777777" w:rsidR="00894ACB" w:rsidRPr="00894ACB" w:rsidRDefault="00894ACB" w:rsidP="00894ACB">
      <w:pPr>
        <w:jc w:val="both"/>
        <w:rPr>
          <w:i/>
          <w:iCs/>
        </w:rPr>
      </w:pPr>
      <w:r w:rsidRPr="00894ACB">
        <w:rPr>
          <w:i/>
          <w:iCs/>
        </w:rPr>
        <w:t>Steun wordt toegekend via een concurrerende biedprocedure die naast de in artikel 2, punt 38, vastgestelde voorwaarden elk van de volgende voorwaarden vervult:</w:t>
      </w:r>
    </w:p>
    <w:p w14:paraId="085850F8" w14:textId="77777777" w:rsidR="00894ACB" w:rsidRDefault="00894ACB" w:rsidP="00894ACB">
      <w:pPr>
        <w:jc w:val="both"/>
        <w:rPr>
          <w:i/>
          <w:iCs/>
        </w:rPr>
      </w:pPr>
    </w:p>
    <w:p w14:paraId="0D37C435" w14:textId="3ECC46AC" w:rsidR="00894ACB" w:rsidRPr="00894ACB" w:rsidRDefault="00894ACB" w:rsidP="00894ACB">
      <w:pPr>
        <w:jc w:val="both"/>
        <w:rPr>
          <w:i/>
          <w:iCs/>
        </w:rPr>
      </w:pPr>
      <w:r w:rsidRPr="00894ACB">
        <w:rPr>
          <w:i/>
          <w:iCs/>
        </w:rPr>
        <w:t>a)</w:t>
      </w:r>
      <w:r>
        <w:rPr>
          <w:i/>
          <w:iCs/>
        </w:rPr>
        <w:t xml:space="preserve"> </w:t>
      </w:r>
      <w:r w:rsidRPr="00894ACB">
        <w:rPr>
          <w:i/>
          <w:iCs/>
        </w:rPr>
        <w:t>de steunverlening is gebaseerd op objectieve, heldere, transparante en niet-discriminerende criteria om in aanmerking te komen en selectiecriteria, die vooraf worden vastgesteld en ten minste zes weken vóór het verstrijken van de termijn voor het indienen van aanvragen worden bekendgemaakt, om daadwerkelijke mededinging mogelijk te maken;</w:t>
      </w:r>
    </w:p>
    <w:p w14:paraId="1800BFC9" w14:textId="77777777" w:rsidR="00894ACB" w:rsidRDefault="00894ACB" w:rsidP="00894ACB">
      <w:pPr>
        <w:jc w:val="both"/>
        <w:rPr>
          <w:i/>
          <w:iCs/>
        </w:rPr>
      </w:pPr>
    </w:p>
    <w:p w14:paraId="4A1B9401" w14:textId="4E34ED73" w:rsidR="00894ACB" w:rsidRPr="00894ACB" w:rsidRDefault="00894ACB" w:rsidP="00894ACB">
      <w:pPr>
        <w:jc w:val="both"/>
        <w:rPr>
          <w:i/>
          <w:iCs/>
        </w:rPr>
      </w:pPr>
      <w:r w:rsidRPr="00894ACB">
        <w:rPr>
          <w:i/>
          <w:iCs/>
        </w:rPr>
        <w:t>b)</w:t>
      </w:r>
      <w:r>
        <w:rPr>
          <w:i/>
          <w:iCs/>
        </w:rPr>
        <w:t xml:space="preserve"> </w:t>
      </w:r>
      <w:r w:rsidRPr="00894ACB">
        <w:rPr>
          <w:i/>
          <w:iCs/>
        </w:rPr>
        <w:t>tijdens de uitvoering van een regeling, in het geval van een biedprocedure waarbij alle bieders steun ontvangen, wordt de vormgeving van deze procedure gecorrigeerd om in de daaropvolgende biedprocedures een daadwerkelijke mededinging te herstellen, bijvoorbeeld door het budget of het volume te verlagen;</w:t>
      </w:r>
    </w:p>
    <w:p w14:paraId="6AD0095C" w14:textId="77777777" w:rsidR="00894ACB" w:rsidRDefault="00894ACB" w:rsidP="00894ACB">
      <w:pPr>
        <w:jc w:val="both"/>
        <w:rPr>
          <w:i/>
          <w:iCs/>
        </w:rPr>
      </w:pPr>
    </w:p>
    <w:p w14:paraId="52A7E85C" w14:textId="56FF5E25" w:rsidR="00894ACB" w:rsidRPr="00894ACB" w:rsidRDefault="00894ACB" w:rsidP="00894ACB">
      <w:pPr>
        <w:jc w:val="both"/>
        <w:rPr>
          <w:i/>
          <w:iCs/>
        </w:rPr>
      </w:pPr>
      <w:r w:rsidRPr="00894ACB">
        <w:rPr>
          <w:i/>
          <w:iCs/>
        </w:rPr>
        <w:t>c)</w:t>
      </w:r>
      <w:r>
        <w:rPr>
          <w:i/>
          <w:iCs/>
        </w:rPr>
        <w:t xml:space="preserve"> </w:t>
      </w:r>
      <w:r w:rsidRPr="00894ACB">
        <w:rPr>
          <w:i/>
          <w:iCs/>
        </w:rPr>
        <w:t>aanpassingen achteraf van de uitkomst van de biedprocedure (zoals aansluitende onderhandelingen over de uitkomsten van de biedingen of contingentering) zijn uitgesloten;</w:t>
      </w:r>
    </w:p>
    <w:p w14:paraId="49BBBE13" w14:textId="77777777" w:rsidR="00894ACB" w:rsidRDefault="00894ACB" w:rsidP="00894ACB">
      <w:pPr>
        <w:jc w:val="both"/>
        <w:rPr>
          <w:i/>
          <w:iCs/>
        </w:rPr>
      </w:pPr>
    </w:p>
    <w:p w14:paraId="5AA90B4E" w14:textId="06F68E70" w:rsidR="00894ACB" w:rsidRPr="00894ACB" w:rsidRDefault="00894ACB" w:rsidP="00894ACB">
      <w:pPr>
        <w:jc w:val="both"/>
        <w:rPr>
          <w:i/>
          <w:iCs/>
        </w:rPr>
      </w:pPr>
      <w:r w:rsidRPr="00894ACB">
        <w:rPr>
          <w:i/>
          <w:iCs/>
        </w:rPr>
        <w:t>d)</w:t>
      </w:r>
      <w:r>
        <w:rPr>
          <w:i/>
          <w:iCs/>
        </w:rPr>
        <w:t xml:space="preserve"> </w:t>
      </w:r>
      <w:r w:rsidRPr="00894ACB">
        <w:rPr>
          <w:i/>
          <w:iCs/>
        </w:rPr>
        <w:t>ten minste 70 % van de totale selectiecriteria die worden gehanteerd voor de rangschikking van biedingen en, uiteindelijk, voor de toewijzing van de steun in het kader van de concurrerende biedprocedure, wordt vastgesteld als steun per eenheid elektriciteitsproductie of capaciteit uit hernieuwbare bronnen.</w:t>
      </w:r>
    </w:p>
    <w:p w14:paraId="744F2520" w14:textId="77777777" w:rsidR="00894ACB" w:rsidRDefault="00894ACB" w:rsidP="00894ACB">
      <w:pPr>
        <w:jc w:val="both"/>
        <w:rPr>
          <w:i/>
          <w:iCs/>
        </w:rPr>
      </w:pPr>
    </w:p>
    <w:p w14:paraId="1BC68504" w14:textId="75D2CFD1" w:rsidR="00892732" w:rsidRDefault="00894ACB" w:rsidP="00894ACB">
      <w:pPr>
        <w:jc w:val="both"/>
        <w:rPr>
          <w:i/>
          <w:iCs/>
        </w:rPr>
      </w:pPr>
      <w:r w:rsidRPr="00894ACB">
        <w:rPr>
          <w:i/>
          <w:iCs/>
        </w:rPr>
        <w:t>De biedprocedure staat op niet-discriminerende basis open voor alle producenten van elektriciteit uit hernieuwbare energiebronnen.</w:t>
      </w:r>
      <w:r w:rsidR="00D034A9" w:rsidRPr="00D034A9">
        <w:rPr>
          <w:i/>
          <w:iCs/>
        </w:rPr>
        <w:t>.</w:t>
      </w:r>
      <w:r w:rsidR="00BC0FC3">
        <w:rPr>
          <w:rStyle w:val="Voetnootmarkering"/>
          <w:i/>
          <w:iCs/>
        </w:rPr>
        <w:footnoteReference w:id="2"/>
      </w:r>
    </w:p>
    <w:p w14:paraId="601ED25D" w14:textId="5AE83D94" w:rsidR="00D034A9" w:rsidRDefault="00D034A9" w:rsidP="002C17E5">
      <w:pPr>
        <w:jc w:val="both"/>
        <w:rPr>
          <w:i/>
          <w:iCs/>
        </w:rPr>
      </w:pPr>
    </w:p>
    <w:p w14:paraId="3B40501A" w14:textId="77777777" w:rsidR="0070158F" w:rsidRPr="0070158F" w:rsidRDefault="0070158F" w:rsidP="0070158F"/>
    <w:p w14:paraId="6A1C22C0" w14:textId="50725565" w:rsidR="00115A95" w:rsidRDefault="00115A95" w:rsidP="002C17E5">
      <w:pPr>
        <w:jc w:val="both"/>
      </w:pPr>
      <w:r w:rsidRPr="00326FA1">
        <w:rPr>
          <w:b/>
          <w:bCs/>
          <w:i/>
          <w:iCs/>
          <w:u w:val="single"/>
        </w:rPr>
        <w:t xml:space="preserve">Art </w:t>
      </w:r>
      <w:r>
        <w:rPr>
          <w:b/>
          <w:bCs/>
          <w:i/>
          <w:iCs/>
          <w:u w:val="single"/>
        </w:rPr>
        <w:t>4</w:t>
      </w:r>
      <w:r w:rsidR="00D034A9">
        <w:rPr>
          <w:b/>
          <w:bCs/>
          <w:i/>
          <w:iCs/>
          <w:u w:val="single"/>
        </w:rPr>
        <w:t>2</w:t>
      </w:r>
      <w:r w:rsidRPr="00326FA1">
        <w:rPr>
          <w:b/>
          <w:bCs/>
          <w:i/>
          <w:iCs/>
          <w:u w:val="single"/>
        </w:rPr>
        <w:t xml:space="preserve">, lid </w:t>
      </w:r>
      <w:r>
        <w:rPr>
          <w:b/>
          <w:bCs/>
          <w:i/>
          <w:iCs/>
          <w:u w:val="single"/>
        </w:rPr>
        <w:t>3</w:t>
      </w:r>
      <w:r w:rsidRPr="00326FA1">
        <w:rPr>
          <w:b/>
          <w:bCs/>
          <w:i/>
          <w:iCs/>
          <w:u w:val="single"/>
        </w:rPr>
        <w:t>:</w:t>
      </w:r>
    </w:p>
    <w:p w14:paraId="72B47DC8" w14:textId="77777777" w:rsidR="001942A3" w:rsidRDefault="001942A3" w:rsidP="001942A3">
      <w:pPr>
        <w:jc w:val="both"/>
        <w:rPr>
          <w:i/>
          <w:iCs/>
        </w:rPr>
      </w:pPr>
      <w:r w:rsidRPr="001942A3">
        <w:rPr>
          <w:i/>
          <w:iCs/>
        </w:rPr>
        <w:t>De biedprocedure kan tot specifieke technologieën worden beperkt wanneer:</w:t>
      </w:r>
    </w:p>
    <w:p w14:paraId="5734E9C7" w14:textId="77777777" w:rsidR="001942A3" w:rsidRPr="001942A3" w:rsidRDefault="001942A3" w:rsidP="001942A3">
      <w:pPr>
        <w:jc w:val="both"/>
        <w:rPr>
          <w:i/>
          <w:iCs/>
        </w:rPr>
      </w:pPr>
    </w:p>
    <w:p w14:paraId="61824882" w14:textId="6D712B3F" w:rsidR="001942A3" w:rsidRDefault="001942A3" w:rsidP="001942A3">
      <w:pPr>
        <w:jc w:val="both"/>
        <w:rPr>
          <w:i/>
          <w:iCs/>
        </w:rPr>
      </w:pPr>
      <w:r w:rsidRPr="001942A3">
        <w:rPr>
          <w:i/>
          <w:iCs/>
        </w:rPr>
        <w:t>a)</w:t>
      </w:r>
      <w:r>
        <w:rPr>
          <w:i/>
          <w:iCs/>
        </w:rPr>
        <w:t xml:space="preserve"> </w:t>
      </w:r>
      <w:r w:rsidRPr="001942A3">
        <w:rPr>
          <w:i/>
          <w:iCs/>
        </w:rPr>
        <w:t>een maatregel specifiek bedoeld is om demonstratieprojecten te ondersteunen;</w:t>
      </w:r>
    </w:p>
    <w:p w14:paraId="31904B24" w14:textId="77777777" w:rsidR="001942A3" w:rsidRDefault="001942A3" w:rsidP="001942A3">
      <w:pPr>
        <w:jc w:val="both"/>
        <w:rPr>
          <w:i/>
          <w:iCs/>
        </w:rPr>
      </w:pPr>
    </w:p>
    <w:p w14:paraId="523C0B8F" w14:textId="1A6520EF" w:rsidR="001942A3" w:rsidRPr="001942A3" w:rsidRDefault="001942A3" w:rsidP="001942A3">
      <w:pPr>
        <w:jc w:val="both"/>
        <w:rPr>
          <w:i/>
          <w:iCs/>
        </w:rPr>
      </w:pPr>
      <w:r w:rsidRPr="001942A3">
        <w:rPr>
          <w:i/>
          <w:iCs/>
        </w:rPr>
        <w:lastRenderedPageBreak/>
        <w:t>b)</w:t>
      </w:r>
      <w:r>
        <w:rPr>
          <w:i/>
          <w:iCs/>
        </w:rPr>
        <w:t xml:space="preserve"> </w:t>
      </w:r>
      <w:r w:rsidRPr="001942A3">
        <w:rPr>
          <w:i/>
          <w:iCs/>
        </w:rPr>
        <w:t>een maatregel niet alleen bedoeld is voor decarbonisatie, maar ook om te werken aan luchtkwaliteit of andere vormen van verontreiniging;</w:t>
      </w:r>
    </w:p>
    <w:p w14:paraId="76B0B17E" w14:textId="77777777" w:rsidR="001942A3" w:rsidRDefault="001942A3" w:rsidP="001942A3">
      <w:pPr>
        <w:jc w:val="both"/>
        <w:rPr>
          <w:i/>
          <w:iCs/>
        </w:rPr>
      </w:pPr>
    </w:p>
    <w:p w14:paraId="27278829" w14:textId="6FB3688F" w:rsidR="001942A3" w:rsidRPr="001942A3" w:rsidRDefault="001942A3" w:rsidP="001942A3">
      <w:pPr>
        <w:jc w:val="both"/>
        <w:rPr>
          <w:i/>
          <w:iCs/>
        </w:rPr>
      </w:pPr>
      <w:r w:rsidRPr="001942A3">
        <w:rPr>
          <w:i/>
          <w:iCs/>
        </w:rPr>
        <w:t>c)</w:t>
      </w:r>
      <w:r>
        <w:rPr>
          <w:i/>
          <w:iCs/>
        </w:rPr>
        <w:t xml:space="preserve"> </w:t>
      </w:r>
      <w:r w:rsidRPr="001942A3">
        <w:rPr>
          <w:i/>
          <w:iCs/>
        </w:rPr>
        <w:t>een lidstaat redenen aanvoert om te verwachten dat in aanmerking komende bedrijfstakken of innovatieve technologieën het potentieel hebben om op langere termijn een belangrijke en kosteneffectieve bijdrage te leveren aan de bescherming van het milieu en ingrijpende decarbonisatie (deep decarbonisation);</w:t>
      </w:r>
    </w:p>
    <w:p w14:paraId="4498B654" w14:textId="77777777" w:rsidR="001942A3" w:rsidRDefault="001942A3" w:rsidP="001942A3">
      <w:pPr>
        <w:jc w:val="both"/>
        <w:rPr>
          <w:i/>
          <w:iCs/>
        </w:rPr>
      </w:pPr>
    </w:p>
    <w:p w14:paraId="25B6E8AE" w14:textId="0F96F943" w:rsidR="001942A3" w:rsidRPr="001942A3" w:rsidRDefault="001942A3" w:rsidP="001942A3">
      <w:pPr>
        <w:jc w:val="both"/>
        <w:rPr>
          <w:i/>
          <w:iCs/>
        </w:rPr>
      </w:pPr>
      <w:r w:rsidRPr="001942A3">
        <w:rPr>
          <w:i/>
          <w:iCs/>
        </w:rPr>
        <w:t>d)</w:t>
      </w:r>
      <w:r>
        <w:rPr>
          <w:i/>
          <w:iCs/>
        </w:rPr>
        <w:t xml:space="preserve"> </w:t>
      </w:r>
      <w:r w:rsidRPr="001942A3">
        <w:rPr>
          <w:i/>
          <w:iCs/>
        </w:rPr>
        <w:t>een maatregel vereist is om diversificatie te bereiken die noodzakelijk is om problemen met netwerkstabiliteit niet te verergeren;</w:t>
      </w:r>
    </w:p>
    <w:p w14:paraId="4D0CC2F6" w14:textId="77777777" w:rsidR="001942A3" w:rsidRDefault="001942A3" w:rsidP="001942A3">
      <w:pPr>
        <w:jc w:val="both"/>
        <w:rPr>
          <w:i/>
          <w:iCs/>
        </w:rPr>
      </w:pPr>
    </w:p>
    <w:p w14:paraId="7C539041" w14:textId="355E93CB" w:rsidR="001942A3" w:rsidRPr="001942A3" w:rsidRDefault="001942A3" w:rsidP="001942A3">
      <w:pPr>
        <w:jc w:val="both"/>
        <w:rPr>
          <w:i/>
          <w:iCs/>
        </w:rPr>
      </w:pPr>
      <w:r w:rsidRPr="001942A3">
        <w:rPr>
          <w:i/>
          <w:iCs/>
        </w:rPr>
        <w:t>e)</w:t>
      </w:r>
      <w:r>
        <w:rPr>
          <w:i/>
          <w:iCs/>
        </w:rPr>
        <w:t xml:space="preserve"> </w:t>
      </w:r>
      <w:r w:rsidRPr="001942A3">
        <w:rPr>
          <w:i/>
          <w:iCs/>
        </w:rPr>
        <w:t>een selectievere benadering tot lagere kosten zou moeten leiden om milieubescherming te verwezenlijken (bv. Via verlaagde kosten voor systeemintegratie als gevolg van diversificatie, ook tussen hernieuwbare energiebronnen, die ook vraagrespons en/of opslag zou kunnen omvatten), en/of geringere verstoringen van de mededinging zou opleveren.</w:t>
      </w:r>
    </w:p>
    <w:p w14:paraId="645E3007" w14:textId="77777777" w:rsidR="001942A3" w:rsidRDefault="001942A3" w:rsidP="001942A3">
      <w:pPr>
        <w:jc w:val="both"/>
        <w:rPr>
          <w:i/>
          <w:iCs/>
        </w:rPr>
      </w:pPr>
    </w:p>
    <w:p w14:paraId="42037C3C" w14:textId="3524EB28" w:rsidR="001942A3" w:rsidRDefault="001942A3" w:rsidP="001942A3">
      <w:pPr>
        <w:jc w:val="both"/>
        <w:rPr>
          <w:i/>
          <w:iCs/>
        </w:rPr>
      </w:pPr>
      <w:r w:rsidRPr="001942A3">
        <w:rPr>
          <w:i/>
          <w:iCs/>
        </w:rPr>
        <w:t>Lidstaten voeren een nadere beoordeling uit van de toepasselijkheid van die voorwaarden en doen de Commissie daarvan verslag overeenkomstig de in artikel 11, lid 1, punt a), beschreven concrete voorwaarden.</w:t>
      </w:r>
    </w:p>
    <w:p w14:paraId="30620844" w14:textId="77777777" w:rsidR="001942A3" w:rsidRDefault="001942A3" w:rsidP="001942A3">
      <w:pPr>
        <w:jc w:val="both"/>
        <w:rPr>
          <w:i/>
          <w:iCs/>
        </w:rPr>
      </w:pPr>
    </w:p>
    <w:p w14:paraId="0713C28C" w14:textId="77777777" w:rsidR="00D034A9" w:rsidRPr="00892732" w:rsidRDefault="00D034A9" w:rsidP="002C17E5">
      <w:pPr>
        <w:jc w:val="both"/>
        <w:rPr>
          <w:i/>
          <w:iCs/>
        </w:rPr>
      </w:pPr>
    </w:p>
    <w:p w14:paraId="0F7B5907" w14:textId="16C106B6" w:rsidR="00115A95" w:rsidRDefault="00115A95" w:rsidP="002C17E5">
      <w:pPr>
        <w:jc w:val="both"/>
      </w:pPr>
      <w:r w:rsidRPr="00326FA1">
        <w:rPr>
          <w:b/>
          <w:bCs/>
          <w:i/>
          <w:iCs/>
          <w:u w:val="single"/>
        </w:rPr>
        <w:t xml:space="preserve">Art </w:t>
      </w:r>
      <w:r>
        <w:rPr>
          <w:b/>
          <w:bCs/>
          <w:i/>
          <w:iCs/>
          <w:u w:val="single"/>
        </w:rPr>
        <w:t>4</w:t>
      </w:r>
      <w:r w:rsidR="00D77624">
        <w:rPr>
          <w:b/>
          <w:bCs/>
          <w:i/>
          <w:iCs/>
          <w:u w:val="single"/>
        </w:rPr>
        <w:t>2</w:t>
      </w:r>
      <w:r w:rsidRPr="00326FA1">
        <w:rPr>
          <w:b/>
          <w:bCs/>
          <w:i/>
          <w:iCs/>
          <w:u w:val="single"/>
        </w:rPr>
        <w:t xml:space="preserve">, lid </w:t>
      </w:r>
      <w:r>
        <w:rPr>
          <w:b/>
          <w:bCs/>
          <w:i/>
          <w:iCs/>
          <w:u w:val="single"/>
        </w:rPr>
        <w:t>4</w:t>
      </w:r>
      <w:r w:rsidRPr="00326FA1">
        <w:rPr>
          <w:b/>
          <w:bCs/>
          <w:i/>
          <w:iCs/>
          <w:u w:val="single"/>
        </w:rPr>
        <w:t>:</w:t>
      </w:r>
    </w:p>
    <w:p w14:paraId="60C747B7" w14:textId="226CF951" w:rsidR="00D034A9" w:rsidRDefault="001942A3" w:rsidP="002C17E5">
      <w:pPr>
        <w:jc w:val="both"/>
        <w:rPr>
          <w:i/>
          <w:iCs/>
        </w:rPr>
      </w:pPr>
      <w:r w:rsidRPr="001942A3">
        <w:rPr>
          <w:i/>
          <w:iCs/>
        </w:rPr>
        <w:t>Wanneer de biedprocedure beperkt is tot een of meer innovatieve technologieën, mag de aan deze technologieën verleende steun niet meer bedragen dan 5 % van het totale geplande nieuwe elektrische vermogen uit hernieuwbare energiebronnen per jaar</w:t>
      </w:r>
      <w:r>
        <w:rPr>
          <w:i/>
          <w:iCs/>
        </w:rPr>
        <w:t>.</w:t>
      </w:r>
    </w:p>
    <w:p w14:paraId="2BBCD16C" w14:textId="77777777" w:rsidR="0070158F" w:rsidRPr="00D77624" w:rsidRDefault="0070158F" w:rsidP="002C17E5">
      <w:pPr>
        <w:jc w:val="both"/>
        <w:rPr>
          <w:i/>
          <w:iCs/>
        </w:rPr>
      </w:pPr>
    </w:p>
    <w:p w14:paraId="08CF3F27" w14:textId="77777777" w:rsidR="00D034A9" w:rsidRPr="00D77624" w:rsidRDefault="00D034A9" w:rsidP="002C17E5">
      <w:pPr>
        <w:jc w:val="both"/>
        <w:rPr>
          <w:i/>
          <w:iCs/>
        </w:rPr>
      </w:pPr>
    </w:p>
    <w:p w14:paraId="203530CE" w14:textId="17390195" w:rsidR="00D034A9" w:rsidRPr="00D77624" w:rsidRDefault="00D77624" w:rsidP="002C17E5">
      <w:pPr>
        <w:jc w:val="both"/>
      </w:pPr>
      <w:r w:rsidRPr="00326FA1">
        <w:rPr>
          <w:b/>
          <w:bCs/>
          <w:i/>
          <w:iCs/>
          <w:u w:val="single"/>
        </w:rPr>
        <w:t xml:space="preserve">Art </w:t>
      </w:r>
      <w:r>
        <w:rPr>
          <w:b/>
          <w:bCs/>
          <w:i/>
          <w:iCs/>
          <w:u w:val="single"/>
        </w:rPr>
        <w:t>42</w:t>
      </w:r>
      <w:r w:rsidRPr="00326FA1">
        <w:rPr>
          <w:b/>
          <w:bCs/>
          <w:i/>
          <w:iCs/>
          <w:u w:val="single"/>
        </w:rPr>
        <w:t xml:space="preserve">, lid </w:t>
      </w:r>
      <w:r>
        <w:rPr>
          <w:b/>
          <w:bCs/>
          <w:i/>
          <w:iCs/>
          <w:u w:val="single"/>
        </w:rPr>
        <w:t>5</w:t>
      </w:r>
      <w:r w:rsidRPr="00326FA1">
        <w:rPr>
          <w:b/>
          <w:bCs/>
          <w:i/>
          <w:iCs/>
          <w:u w:val="single"/>
        </w:rPr>
        <w:t>:</w:t>
      </w:r>
    </w:p>
    <w:p w14:paraId="3A1A67B8" w14:textId="56021A9A" w:rsidR="00D77624" w:rsidRDefault="001942A3" w:rsidP="002C17E5">
      <w:pPr>
        <w:jc w:val="both"/>
        <w:rPr>
          <w:i/>
          <w:iCs/>
        </w:rPr>
      </w:pPr>
      <w:r w:rsidRPr="001942A3">
        <w:rPr>
          <w:i/>
          <w:iCs/>
        </w:rPr>
        <w:t>Steun wordt toegekend als opslag bovenop de marktprijs — of in de vorm van een contract ter verrekening van verschillen — waartegen de producenten hun elektriciteit rechtstreeks op de markt afzetten.</w:t>
      </w:r>
    </w:p>
    <w:p w14:paraId="7C7BD57C" w14:textId="267EB4FA" w:rsidR="00D77624" w:rsidRDefault="00D77624" w:rsidP="002C17E5">
      <w:pPr>
        <w:jc w:val="both"/>
        <w:rPr>
          <w:i/>
          <w:iCs/>
        </w:rPr>
      </w:pPr>
    </w:p>
    <w:p w14:paraId="3952AA56" w14:textId="29C358F8" w:rsidR="00FA4764" w:rsidRDefault="00FA4764" w:rsidP="002C17E5">
      <w:pPr>
        <w:jc w:val="both"/>
        <w:rPr>
          <w:i/>
          <w:iCs/>
        </w:rPr>
      </w:pPr>
      <w:r>
        <w:rPr>
          <w:noProof/>
          <w:lang w:eastAsia="nl-NL"/>
        </w:rPr>
        <mc:AlternateContent>
          <mc:Choice Requires="wps">
            <w:drawing>
              <wp:anchor distT="45720" distB="45720" distL="114300" distR="114300" simplePos="0" relativeHeight="251665408" behindDoc="0" locked="0" layoutInCell="1" allowOverlap="1" wp14:anchorId="41FC5FF1" wp14:editId="4638DF76">
                <wp:simplePos x="0" y="0"/>
                <wp:positionH relativeFrom="margin">
                  <wp:align>left</wp:align>
                </wp:positionH>
                <wp:positionV relativeFrom="paragraph">
                  <wp:posOffset>279373</wp:posOffset>
                </wp:positionV>
                <wp:extent cx="5390515" cy="2000250"/>
                <wp:effectExtent l="0" t="0" r="19685" b="19050"/>
                <wp:wrapTopAndBottom/>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2000250"/>
                        </a:xfrm>
                        <a:prstGeom prst="rect">
                          <a:avLst/>
                        </a:prstGeom>
                        <a:solidFill>
                          <a:srgbClr val="FFFFFF"/>
                        </a:solidFill>
                        <a:ln w="9525">
                          <a:solidFill>
                            <a:srgbClr val="000000"/>
                          </a:solidFill>
                          <a:miter lim="800000"/>
                          <a:headEnd/>
                          <a:tailEnd/>
                        </a:ln>
                      </wps:spPr>
                      <wps:txbx>
                        <w:txbxContent>
                          <w:p w14:paraId="2209D36A" w14:textId="0D36ABC8" w:rsidR="00D77624" w:rsidRPr="002A62AB" w:rsidRDefault="00D77624" w:rsidP="00D77624">
                            <w:pPr>
                              <w:rPr>
                                <w:b/>
                                <w:bCs/>
                              </w:rPr>
                            </w:pPr>
                            <w:r w:rsidRPr="002A62AB">
                              <w:rPr>
                                <w:b/>
                                <w:bCs/>
                              </w:rPr>
                              <w:t xml:space="preserve">Geef </w:t>
                            </w:r>
                            <w:r w:rsidR="008E1E4D">
                              <w:rPr>
                                <w:b/>
                                <w:bCs/>
                              </w:rPr>
                              <w:t xml:space="preserve">aan waarom </w:t>
                            </w:r>
                            <w:r>
                              <w:rPr>
                                <w:b/>
                                <w:bCs/>
                              </w:rPr>
                              <w:t>wordt voldaan</w:t>
                            </w:r>
                            <w:r w:rsidRPr="002A62AB">
                              <w:rPr>
                                <w:b/>
                                <w:bCs/>
                              </w:rPr>
                              <w:t xml:space="preserve"> aan artikel </w:t>
                            </w:r>
                            <w:r>
                              <w:rPr>
                                <w:b/>
                                <w:bCs/>
                              </w:rPr>
                              <w:t>42</w:t>
                            </w:r>
                            <w:r w:rsidRPr="002A62AB">
                              <w:rPr>
                                <w:b/>
                                <w:bCs/>
                              </w:rPr>
                              <w:t xml:space="preserve">, lid </w:t>
                            </w:r>
                            <w:r w:rsidR="008E1E4D">
                              <w:rPr>
                                <w:b/>
                                <w:bCs/>
                              </w:rPr>
                              <w:t xml:space="preserve">2 tot en met </w:t>
                            </w:r>
                            <w:r>
                              <w:rPr>
                                <w:b/>
                                <w:bCs/>
                              </w:rPr>
                              <w:t>5</w:t>
                            </w:r>
                            <w:r w:rsidRPr="002A62AB">
                              <w:rPr>
                                <w:b/>
                                <w:bCs/>
                              </w:rPr>
                              <w:t>:</w:t>
                            </w:r>
                          </w:p>
                          <w:p w14:paraId="6E004D9D" w14:textId="77777777" w:rsidR="00D77624" w:rsidRDefault="00D77624" w:rsidP="00D77624"/>
                          <w:p w14:paraId="1CAE8483" w14:textId="77777777" w:rsidR="00D77624" w:rsidRDefault="00D77624" w:rsidP="00D77624"/>
                          <w:p w14:paraId="6E1E4E75" w14:textId="77777777" w:rsidR="00D77624" w:rsidRDefault="00D77624" w:rsidP="00D77624"/>
                          <w:p w14:paraId="1BB4D98A" w14:textId="77777777" w:rsidR="00D77624" w:rsidRDefault="00D77624" w:rsidP="00D77624"/>
                          <w:p w14:paraId="040A4081" w14:textId="77777777" w:rsidR="00D77624" w:rsidRDefault="00D77624" w:rsidP="00D77624"/>
                          <w:p w14:paraId="18593F47" w14:textId="77777777" w:rsidR="00D77624" w:rsidRDefault="00D77624" w:rsidP="00D77624"/>
                          <w:p w14:paraId="32DD32ED" w14:textId="77777777" w:rsidR="00D77624" w:rsidRDefault="00D77624" w:rsidP="00D77624"/>
                          <w:p w14:paraId="6AF78769" w14:textId="77777777" w:rsidR="00D77624" w:rsidRDefault="00D77624" w:rsidP="00D77624"/>
                          <w:p w14:paraId="3512B4C4" w14:textId="77777777" w:rsidR="00D77624" w:rsidRDefault="00D77624" w:rsidP="00D77624">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C5FF1" id="Tekstvak 2" o:spid="_x0000_s1027" type="#_x0000_t202" style="position:absolute;left:0;text-align:left;margin-left:0;margin-top:22pt;width:424.45pt;height:15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">
                <v:textbox>
                  <w:txbxContent>
                    <w:p w14:paraId="2209D36A" w14:textId="0D36ABC8" w:rsidR="00D77624" w:rsidRPr="002A62AB" w:rsidRDefault="00D77624" w:rsidP="00D77624">
                      <w:pPr>
                        <w:rPr>
                          <w:b/>
                          <w:bCs/>
                        </w:rPr>
                      </w:pPr>
                      <w:r w:rsidRPr="002A62AB">
                        <w:rPr>
                          <w:b/>
                          <w:bCs/>
                        </w:rPr>
                        <w:t xml:space="preserve">Geef </w:t>
                      </w:r>
                      <w:r w:rsidR="008E1E4D">
                        <w:rPr>
                          <w:b/>
                          <w:bCs/>
                        </w:rPr>
                        <w:t xml:space="preserve">aan waarom </w:t>
                      </w:r>
                      <w:r>
                        <w:rPr>
                          <w:b/>
                          <w:bCs/>
                        </w:rPr>
                        <w:t>wordt voldaan</w:t>
                      </w:r>
                      <w:r w:rsidRPr="002A62AB">
                        <w:rPr>
                          <w:b/>
                          <w:bCs/>
                        </w:rPr>
                        <w:t xml:space="preserve"> aan artikel </w:t>
                      </w:r>
                      <w:r>
                        <w:rPr>
                          <w:b/>
                          <w:bCs/>
                        </w:rPr>
                        <w:t>42</w:t>
                      </w:r>
                      <w:r w:rsidRPr="002A62AB">
                        <w:rPr>
                          <w:b/>
                          <w:bCs/>
                        </w:rPr>
                        <w:t xml:space="preserve">, lid </w:t>
                      </w:r>
                      <w:r w:rsidR="008E1E4D">
                        <w:rPr>
                          <w:b/>
                          <w:bCs/>
                        </w:rPr>
                        <w:t xml:space="preserve">2 tot en met </w:t>
                      </w:r>
                      <w:r>
                        <w:rPr>
                          <w:b/>
                          <w:bCs/>
                        </w:rPr>
                        <w:t>5</w:t>
                      </w:r>
                      <w:r w:rsidRPr="002A62AB">
                        <w:rPr>
                          <w:b/>
                          <w:bCs/>
                        </w:rPr>
                        <w:t>:</w:t>
                      </w:r>
                    </w:p>
                    <w:p w14:paraId="6E004D9D" w14:textId="77777777" w:rsidR="00D77624" w:rsidRDefault="00D77624" w:rsidP="00D77624"/>
                    <w:p w14:paraId="1CAE8483" w14:textId="77777777" w:rsidR="00D77624" w:rsidRDefault="00D77624" w:rsidP="00D77624"/>
                    <w:p w14:paraId="6E1E4E75" w14:textId="77777777" w:rsidR="00D77624" w:rsidRDefault="00D77624" w:rsidP="00D77624"/>
                    <w:p w14:paraId="1BB4D98A" w14:textId="77777777" w:rsidR="00D77624" w:rsidRDefault="00D77624" w:rsidP="00D77624"/>
                    <w:p w14:paraId="040A4081" w14:textId="77777777" w:rsidR="00D77624" w:rsidRDefault="00D77624" w:rsidP="00D77624"/>
                    <w:p w14:paraId="18593F47" w14:textId="77777777" w:rsidR="00D77624" w:rsidRDefault="00D77624" w:rsidP="00D77624"/>
                    <w:p w14:paraId="32DD32ED" w14:textId="77777777" w:rsidR="00D77624" w:rsidRDefault="00D77624" w:rsidP="00D77624"/>
                    <w:p w14:paraId="6AF78769" w14:textId="77777777" w:rsidR="00D77624" w:rsidRDefault="00D77624" w:rsidP="00D77624"/>
                    <w:p w14:paraId="3512B4C4" w14:textId="77777777" w:rsidR="00D77624" w:rsidRDefault="00D77624" w:rsidP="00D77624">
                      <w:r>
                        <w:t xml:space="preserve">  </w:t>
                      </w:r>
                    </w:p>
                  </w:txbxContent>
                </v:textbox>
                <w10:wrap type="topAndBottom" anchorx="margin"/>
              </v:shape>
            </w:pict>
          </mc:Fallback>
        </mc:AlternateContent>
      </w:r>
    </w:p>
    <w:p w14:paraId="221DFA1E" w14:textId="214B763B" w:rsidR="00FA4764" w:rsidRDefault="00FA4764" w:rsidP="002C17E5">
      <w:pPr>
        <w:jc w:val="both"/>
        <w:rPr>
          <w:i/>
          <w:iCs/>
        </w:rPr>
      </w:pPr>
    </w:p>
    <w:p w14:paraId="7C5DA012" w14:textId="77777777" w:rsidR="00FA4764" w:rsidRDefault="00FA4764" w:rsidP="002C17E5">
      <w:pPr>
        <w:jc w:val="both"/>
        <w:rPr>
          <w:i/>
          <w:iCs/>
        </w:rPr>
      </w:pPr>
    </w:p>
    <w:p w14:paraId="68D77599" w14:textId="77777777" w:rsidR="00FA4764" w:rsidRDefault="00FA4764" w:rsidP="002C17E5">
      <w:pPr>
        <w:jc w:val="both"/>
        <w:rPr>
          <w:i/>
          <w:iCs/>
        </w:rPr>
      </w:pPr>
    </w:p>
    <w:p w14:paraId="71430D21" w14:textId="77777777" w:rsidR="00FA4764" w:rsidRPr="00D77624" w:rsidRDefault="00FA4764" w:rsidP="002C17E5">
      <w:pPr>
        <w:jc w:val="both"/>
        <w:rPr>
          <w:i/>
          <w:iCs/>
        </w:rPr>
      </w:pPr>
    </w:p>
    <w:p w14:paraId="6DD8A9EC" w14:textId="6C2FE72D" w:rsidR="00D034A9" w:rsidRPr="00D77624" w:rsidRDefault="00D77624" w:rsidP="002C17E5">
      <w:pPr>
        <w:jc w:val="both"/>
      </w:pPr>
      <w:r w:rsidRPr="00326FA1">
        <w:rPr>
          <w:b/>
          <w:bCs/>
          <w:i/>
          <w:iCs/>
          <w:u w:val="single"/>
        </w:rPr>
        <w:lastRenderedPageBreak/>
        <w:t xml:space="preserve">Art </w:t>
      </w:r>
      <w:r>
        <w:rPr>
          <w:b/>
          <w:bCs/>
          <w:i/>
          <w:iCs/>
          <w:u w:val="single"/>
        </w:rPr>
        <w:t>42</w:t>
      </w:r>
      <w:r w:rsidRPr="00326FA1">
        <w:rPr>
          <w:b/>
          <w:bCs/>
          <w:i/>
          <w:iCs/>
          <w:u w:val="single"/>
        </w:rPr>
        <w:t xml:space="preserve">, lid </w:t>
      </w:r>
      <w:r>
        <w:rPr>
          <w:b/>
          <w:bCs/>
          <w:i/>
          <w:iCs/>
          <w:u w:val="single"/>
        </w:rPr>
        <w:t>6</w:t>
      </w:r>
      <w:r w:rsidRPr="00326FA1">
        <w:rPr>
          <w:b/>
          <w:bCs/>
          <w:i/>
          <w:iCs/>
          <w:u w:val="single"/>
        </w:rPr>
        <w:t>:</w:t>
      </w:r>
    </w:p>
    <w:p w14:paraId="3F00CB4C" w14:textId="44E316D3" w:rsidR="00D034A9" w:rsidRPr="00D77624" w:rsidRDefault="001942A3" w:rsidP="002C17E5">
      <w:pPr>
        <w:jc w:val="both"/>
        <w:rPr>
          <w:i/>
          <w:iCs/>
        </w:rPr>
      </w:pPr>
      <w:r w:rsidRPr="001942A3">
        <w:rPr>
          <w:i/>
          <w:iCs/>
        </w:rPr>
        <w:t>Begunstigden van steun verkopen hun elektriciteit rechtstreeks op de markt en zijn aan standaardbalanceringstaken onderworpen. Begunstigden mogen hun balanceringstaken uitbesteden aan andere, namens hen optredende ondernemingen, zoals aggregatoren. Voorts wordt geen steun uitgekeerd voor perioden waarin de prijzen negatief zijn. Voor alle duidelijkheid, dit geldt vanaf het tijdstip dat prijzen negatief worden.</w:t>
      </w:r>
    </w:p>
    <w:p w14:paraId="0C8FEF70" w14:textId="77777777" w:rsidR="00D034A9" w:rsidRPr="00D77624" w:rsidRDefault="00D034A9" w:rsidP="002C17E5">
      <w:pPr>
        <w:jc w:val="both"/>
        <w:rPr>
          <w:i/>
          <w:iCs/>
        </w:rPr>
      </w:pPr>
    </w:p>
    <w:p w14:paraId="663927F5" w14:textId="77777777" w:rsidR="00D77624" w:rsidRPr="00D77624" w:rsidRDefault="00D77624" w:rsidP="00D77624">
      <w:pPr>
        <w:jc w:val="both"/>
      </w:pPr>
      <w:r>
        <w:t>Ter kennisname, geen toelichting nodig.</w:t>
      </w:r>
    </w:p>
    <w:p w14:paraId="4816BF60" w14:textId="77B46FF6" w:rsidR="00D034A9" w:rsidRDefault="00D034A9" w:rsidP="002C17E5">
      <w:pPr>
        <w:jc w:val="both"/>
        <w:rPr>
          <w:i/>
          <w:iCs/>
        </w:rPr>
      </w:pPr>
    </w:p>
    <w:p w14:paraId="60382D92" w14:textId="77777777" w:rsidR="00D77624" w:rsidRDefault="00D77624" w:rsidP="002C17E5">
      <w:pPr>
        <w:jc w:val="both"/>
        <w:rPr>
          <w:i/>
          <w:iCs/>
        </w:rPr>
      </w:pPr>
    </w:p>
    <w:p w14:paraId="076A1AD2" w14:textId="0C9D8FF8" w:rsidR="00D77624" w:rsidRPr="00D77624" w:rsidRDefault="00D77624" w:rsidP="002C17E5">
      <w:pPr>
        <w:jc w:val="both"/>
      </w:pPr>
      <w:r w:rsidRPr="00326FA1">
        <w:rPr>
          <w:b/>
          <w:bCs/>
          <w:i/>
          <w:iCs/>
          <w:u w:val="single"/>
        </w:rPr>
        <w:t xml:space="preserve">Art </w:t>
      </w:r>
      <w:r>
        <w:rPr>
          <w:b/>
          <w:bCs/>
          <w:i/>
          <w:iCs/>
          <w:u w:val="single"/>
        </w:rPr>
        <w:t>42</w:t>
      </w:r>
      <w:r w:rsidRPr="00326FA1">
        <w:rPr>
          <w:b/>
          <w:bCs/>
          <w:i/>
          <w:iCs/>
          <w:u w:val="single"/>
        </w:rPr>
        <w:t xml:space="preserve">, lid </w:t>
      </w:r>
      <w:r>
        <w:rPr>
          <w:b/>
          <w:bCs/>
          <w:i/>
          <w:iCs/>
          <w:u w:val="single"/>
        </w:rPr>
        <w:t>7</w:t>
      </w:r>
      <w:r w:rsidRPr="00326FA1">
        <w:rPr>
          <w:b/>
          <w:bCs/>
          <w:i/>
          <w:iCs/>
          <w:u w:val="single"/>
        </w:rPr>
        <w:t>:</w:t>
      </w:r>
    </w:p>
    <w:p w14:paraId="6D91D56C" w14:textId="399668FC" w:rsidR="00D77624" w:rsidRDefault="001942A3" w:rsidP="002C17E5">
      <w:pPr>
        <w:jc w:val="both"/>
        <w:rPr>
          <w:i/>
          <w:iCs/>
        </w:rPr>
      </w:pPr>
      <w:r w:rsidRPr="001942A3">
        <w:rPr>
          <w:i/>
          <w:iCs/>
        </w:rPr>
        <w:t>Kleinschalige installaties voor hernieuwbare elektriciteit kunnen steun krijgen in de vorm van directe prijssteun die de volledige exploitatiekosten dekt en kunnen worden vrijgesteld van de verplichting om de geproduceerde elektriciteit op de markt te verkopen, in overeenstemming met artikel 4, lid 3, van Richtlijn (EU) 2018/2001. Installaties worden voor de toepassing van dit lid als kleinschalig beschouwd indien het vermogen ervan lager is dan de toepasselijke drempel overeenkomstig artikel 5, lid 2, punt b), of artikel 5, lid 4, van Verordening (EU) 2019/943.</w:t>
      </w:r>
    </w:p>
    <w:p w14:paraId="1D76741F" w14:textId="63B8D2F4" w:rsidR="00D77624" w:rsidRPr="00D77624" w:rsidRDefault="00D77624" w:rsidP="002C17E5">
      <w:pPr>
        <w:jc w:val="both"/>
      </w:pPr>
      <w:r>
        <w:t>Ter kennisname, geen toelichting nodig.</w:t>
      </w:r>
    </w:p>
    <w:p w14:paraId="629BD6A9" w14:textId="4481BED2" w:rsidR="00D77624" w:rsidRDefault="00D77624" w:rsidP="00D77624">
      <w:pPr>
        <w:tabs>
          <w:tab w:val="left" w:pos="587"/>
        </w:tabs>
        <w:jc w:val="both"/>
        <w:rPr>
          <w:i/>
          <w:iCs/>
        </w:rPr>
      </w:pPr>
      <w:r>
        <w:rPr>
          <w:i/>
          <w:iCs/>
        </w:rPr>
        <w:tab/>
      </w:r>
    </w:p>
    <w:p w14:paraId="40825282" w14:textId="77777777" w:rsidR="00D77624" w:rsidRDefault="00D77624" w:rsidP="00D77624">
      <w:pPr>
        <w:tabs>
          <w:tab w:val="left" w:pos="587"/>
        </w:tabs>
        <w:jc w:val="both"/>
        <w:rPr>
          <w:i/>
          <w:iCs/>
        </w:rPr>
      </w:pPr>
    </w:p>
    <w:p w14:paraId="51A07CD1" w14:textId="3C16D7C2" w:rsidR="00D77624" w:rsidRPr="00D77624" w:rsidRDefault="00D77624" w:rsidP="002C17E5">
      <w:pPr>
        <w:jc w:val="both"/>
      </w:pPr>
      <w:r w:rsidRPr="00326FA1">
        <w:rPr>
          <w:b/>
          <w:bCs/>
          <w:i/>
          <w:iCs/>
          <w:u w:val="single"/>
        </w:rPr>
        <w:t xml:space="preserve">Art </w:t>
      </w:r>
      <w:r>
        <w:rPr>
          <w:b/>
          <w:bCs/>
          <w:i/>
          <w:iCs/>
          <w:u w:val="single"/>
        </w:rPr>
        <w:t>42</w:t>
      </w:r>
      <w:r w:rsidRPr="00326FA1">
        <w:rPr>
          <w:b/>
          <w:bCs/>
          <w:i/>
          <w:iCs/>
          <w:u w:val="single"/>
        </w:rPr>
        <w:t xml:space="preserve">, lid </w:t>
      </w:r>
      <w:r>
        <w:rPr>
          <w:b/>
          <w:bCs/>
          <w:i/>
          <w:iCs/>
          <w:u w:val="single"/>
        </w:rPr>
        <w:t>8</w:t>
      </w:r>
      <w:r w:rsidRPr="00326FA1">
        <w:rPr>
          <w:b/>
          <w:bCs/>
          <w:i/>
          <w:iCs/>
          <w:u w:val="single"/>
        </w:rPr>
        <w:t>:</w:t>
      </w:r>
    </w:p>
    <w:p w14:paraId="3BA8620F" w14:textId="43019EAE" w:rsidR="00D77624" w:rsidRPr="00D77624" w:rsidRDefault="001942A3" w:rsidP="002C17E5">
      <w:pPr>
        <w:jc w:val="both"/>
        <w:rPr>
          <w:i/>
          <w:iCs/>
        </w:rPr>
      </w:pPr>
      <w:r>
        <w:rPr>
          <w:i/>
          <w:iCs/>
        </w:rPr>
        <w:t xml:space="preserve">Vervallen. </w:t>
      </w:r>
    </w:p>
    <w:p w14:paraId="728B530B" w14:textId="77777777" w:rsidR="00D77624" w:rsidRPr="00D77624" w:rsidRDefault="00D77624" w:rsidP="002C17E5">
      <w:pPr>
        <w:jc w:val="both"/>
        <w:rPr>
          <w:i/>
          <w:iCs/>
        </w:rPr>
      </w:pPr>
    </w:p>
    <w:p w14:paraId="231741DB" w14:textId="77777777" w:rsidR="00D77624" w:rsidRDefault="00D77624" w:rsidP="002C17E5">
      <w:pPr>
        <w:jc w:val="both"/>
        <w:rPr>
          <w:i/>
          <w:iCs/>
        </w:rPr>
      </w:pPr>
    </w:p>
    <w:p w14:paraId="73B9E342" w14:textId="4A244CE7" w:rsidR="00D77624" w:rsidRPr="00D77624" w:rsidRDefault="00D77624" w:rsidP="002C17E5">
      <w:pPr>
        <w:jc w:val="both"/>
      </w:pPr>
      <w:r w:rsidRPr="00326FA1">
        <w:rPr>
          <w:b/>
          <w:bCs/>
          <w:i/>
          <w:iCs/>
          <w:u w:val="single"/>
        </w:rPr>
        <w:t xml:space="preserve">Art </w:t>
      </w:r>
      <w:r>
        <w:rPr>
          <w:b/>
          <w:bCs/>
          <w:i/>
          <w:iCs/>
          <w:u w:val="single"/>
        </w:rPr>
        <w:t>42</w:t>
      </w:r>
      <w:r w:rsidRPr="00326FA1">
        <w:rPr>
          <w:b/>
          <w:bCs/>
          <w:i/>
          <w:iCs/>
          <w:u w:val="single"/>
        </w:rPr>
        <w:t xml:space="preserve">, lid </w:t>
      </w:r>
      <w:r>
        <w:rPr>
          <w:b/>
          <w:bCs/>
          <w:i/>
          <w:iCs/>
          <w:u w:val="single"/>
        </w:rPr>
        <w:t>9</w:t>
      </w:r>
      <w:r w:rsidRPr="00326FA1">
        <w:rPr>
          <w:b/>
          <w:bCs/>
          <w:i/>
          <w:iCs/>
          <w:u w:val="single"/>
        </w:rPr>
        <w:t>:</w:t>
      </w:r>
    </w:p>
    <w:p w14:paraId="72C0E72F" w14:textId="48613A76" w:rsidR="00A6352A" w:rsidRPr="00D77624" w:rsidRDefault="001942A3" w:rsidP="002C17E5">
      <w:pPr>
        <w:jc w:val="both"/>
        <w:rPr>
          <w:i/>
          <w:iCs/>
        </w:rPr>
      </w:pPr>
      <w:r>
        <w:rPr>
          <w:i/>
          <w:iCs/>
        </w:rPr>
        <w:t>Vervallen.</w:t>
      </w:r>
    </w:p>
    <w:p w14:paraId="3D0D136D" w14:textId="52FF5E31" w:rsidR="002C17E5" w:rsidRDefault="002C17E5" w:rsidP="002C17E5">
      <w:pPr>
        <w:jc w:val="both"/>
        <w:rPr>
          <w:i/>
          <w:iCs/>
        </w:rPr>
      </w:pPr>
    </w:p>
    <w:p w14:paraId="29CD6760" w14:textId="77777777" w:rsidR="00D77624" w:rsidRDefault="00D77624" w:rsidP="002C17E5">
      <w:pPr>
        <w:jc w:val="both"/>
        <w:rPr>
          <w:i/>
          <w:iCs/>
        </w:rPr>
      </w:pPr>
    </w:p>
    <w:p w14:paraId="2B4F6EE7" w14:textId="762D6A2F" w:rsidR="00D77624" w:rsidRPr="00D77624" w:rsidRDefault="00D77624" w:rsidP="002C17E5">
      <w:pPr>
        <w:jc w:val="both"/>
      </w:pPr>
      <w:r w:rsidRPr="00326FA1">
        <w:rPr>
          <w:b/>
          <w:bCs/>
          <w:i/>
          <w:iCs/>
          <w:u w:val="single"/>
        </w:rPr>
        <w:t xml:space="preserve">Art </w:t>
      </w:r>
      <w:r>
        <w:rPr>
          <w:b/>
          <w:bCs/>
          <w:i/>
          <w:iCs/>
          <w:u w:val="single"/>
        </w:rPr>
        <w:t>42</w:t>
      </w:r>
      <w:r w:rsidRPr="00326FA1">
        <w:rPr>
          <w:b/>
          <w:bCs/>
          <w:i/>
          <w:iCs/>
          <w:u w:val="single"/>
        </w:rPr>
        <w:t>, lid</w:t>
      </w:r>
      <w:r>
        <w:rPr>
          <w:b/>
          <w:bCs/>
          <w:i/>
          <w:iCs/>
          <w:u w:val="single"/>
        </w:rPr>
        <w:t xml:space="preserve"> 10</w:t>
      </w:r>
      <w:r w:rsidRPr="00326FA1">
        <w:rPr>
          <w:b/>
          <w:bCs/>
          <w:i/>
          <w:iCs/>
          <w:u w:val="single"/>
        </w:rPr>
        <w:t>:</w:t>
      </w:r>
    </w:p>
    <w:p w14:paraId="12351ADA" w14:textId="550CA1C0" w:rsidR="00D77624" w:rsidRPr="00D77624" w:rsidRDefault="001942A3" w:rsidP="002C17E5">
      <w:pPr>
        <w:jc w:val="both"/>
        <w:rPr>
          <w:i/>
          <w:iCs/>
        </w:rPr>
      </w:pPr>
      <w:r>
        <w:rPr>
          <w:i/>
          <w:iCs/>
        </w:rPr>
        <w:t xml:space="preserve">Vervallen. </w:t>
      </w:r>
    </w:p>
    <w:p w14:paraId="1C200C2B" w14:textId="474F77B2" w:rsidR="00D77624" w:rsidRDefault="00D77624" w:rsidP="002C17E5">
      <w:pPr>
        <w:jc w:val="both"/>
      </w:pPr>
    </w:p>
    <w:p w14:paraId="4EAFD3C9" w14:textId="4A5CA3FB" w:rsidR="00D77624" w:rsidRDefault="00D77624" w:rsidP="002C17E5">
      <w:pPr>
        <w:jc w:val="both"/>
      </w:pPr>
    </w:p>
    <w:p w14:paraId="7C5CF8AC" w14:textId="2FC92902" w:rsidR="00D77624" w:rsidRDefault="00D77624" w:rsidP="002C17E5">
      <w:pPr>
        <w:jc w:val="both"/>
      </w:pPr>
      <w:r w:rsidRPr="00326FA1">
        <w:rPr>
          <w:b/>
          <w:bCs/>
          <w:i/>
          <w:iCs/>
          <w:u w:val="single"/>
        </w:rPr>
        <w:t xml:space="preserve">Art </w:t>
      </w:r>
      <w:r>
        <w:rPr>
          <w:b/>
          <w:bCs/>
          <w:i/>
          <w:iCs/>
          <w:u w:val="single"/>
        </w:rPr>
        <w:t>42</w:t>
      </w:r>
      <w:r w:rsidRPr="00326FA1">
        <w:rPr>
          <w:b/>
          <w:bCs/>
          <w:i/>
          <w:iCs/>
          <w:u w:val="single"/>
        </w:rPr>
        <w:t xml:space="preserve">, lid </w:t>
      </w:r>
      <w:r>
        <w:rPr>
          <w:b/>
          <w:bCs/>
          <w:i/>
          <w:iCs/>
          <w:u w:val="single"/>
        </w:rPr>
        <w:t>11</w:t>
      </w:r>
      <w:r w:rsidRPr="00326FA1">
        <w:rPr>
          <w:b/>
          <w:bCs/>
          <w:i/>
          <w:iCs/>
          <w:u w:val="single"/>
        </w:rPr>
        <w:t>:</w:t>
      </w:r>
    </w:p>
    <w:p w14:paraId="510B0D6E" w14:textId="5ED787B5" w:rsidR="00D77624" w:rsidRDefault="001942A3" w:rsidP="002C17E5">
      <w:pPr>
        <w:jc w:val="both"/>
        <w:rPr>
          <w:i/>
          <w:iCs/>
        </w:rPr>
      </w:pPr>
      <w:r w:rsidRPr="001942A3">
        <w:rPr>
          <w:i/>
          <w:iCs/>
        </w:rPr>
        <w:t>Steun wordt alleen gedurende de looptijd van het project toegekend</w:t>
      </w:r>
      <w:r>
        <w:rPr>
          <w:i/>
          <w:iCs/>
        </w:rPr>
        <w:t>.</w:t>
      </w:r>
      <w:r w:rsidR="00D77624" w:rsidRPr="00D77624">
        <w:rPr>
          <w:i/>
          <w:iCs/>
        </w:rPr>
        <w:t>.</w:t>
      </w:r>
    </w:p>
    <w:p w14:paraId="6895A828" w14:textId="3FC07FF8" w:rsidR="00115A95" w:rsidRDefault="00115A95" w:rsidP="002C17E5">
      <w:pPr>
        <w:jc w:val="both"/>
      </w:pPr>
      <w:r>
        <w:rPr>
          <w:noProof/>
          <w:lang w:eastAsia="nl-NL"/>
        </w:rPr>
        <mc:AlternateContent>
          <mc:Choice Requires="wps">
            <w:drawing>
              <wp:anchor distT="45720" distB="45720" distL="114300" distR="114300" simplePos="0" relativeHeight="251659264" behindDoc="0" locked="0" layoutInCell="1" allowOverlap="1" wp14:anchorId="56FA2D27" wp14:editId="56A305C3">
                <wp:simplePos x="0" y="0"/>
                <wp:positionH relativeFrom="margin">
                  <wp:posOffset>0</wp:posOffset>
                </wp:positionH>
                <wp:positionV relativeFrom="paragraph">
                  <wp:posOffset>220345</wp:posOffset>
                </wp:positionV>
                <wp:extent cx="5405119" cy="634364"/>
                <wp:effectExtent l="0" t="0" r="24765" b="139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3F05B9E" w14:textId="2F5DD634" w:rsidR="00115A95" w:rsidRPr="002A62AB" w:rsidRDefault="00115A95" w:rsidP="00115A95">
                            <w:pPr>
                              <w:rPr>
                                <w:b/>
                                <w:bCs/>
                              </w:rPr>
                            </w:pPr>
                            <w:r w:rsidRPr="002A62AB">
                              <w:rPr>
                                <w:b/>
                                <w:bCs/>
                              </w:rPr>
                              <w:t xml:space="preserve">Geef hier aan waarom </w:t>
                            </w:r>
                            <w:r w:rsidR="00D77624">
                              <w:rPr>
                                <w:b/>
                                <w:bCs/>
                              </w:rPr>
                              <w:t>wordt voldaan</w:t>
                            </w:r>
                            <w:r w:rsidR="00325225" w:rsidRPr="002A62AB">
                              <w:rPr>
                                <w:b/>
                                <w:bCs/>
                              </w:rPr>
                              <w:t xml:space="preserve"> </w:t>
                            </w:r>
                            <w:r w:rsidRPr="002A62AB">
                              <w:rPr>
                                <w:b/>
                                <w:bCs/>
                              </w:rPr>
                              <w:t xml:space="preserve">aan artikel </w:t>
                            </w:r>
                            <w:r w:rsidR="003478CA">
                              <w:rPr>
                                <w:b/>
                                <w:bCs/>
                              </w:rPr>
                              <w:t>4</w:t>
                            </w:r>
                            <w:r w:rsidR="00D77624">
                              <w:rPr>
                                <w:b/>
                                <w:bCs/>
                              </w:rPr>
                              <w:t>2</w:t>
                            </w:r>
                            <w:r w:rsidRPr="002A62AB">
                              <w:rPr>
                                <w:b/>
                                <w:bCs/>
                              </w:rPr>
                              <w:t xml:space="preserve">, lid </w:t>
                            </w:r>
                            <w:r w:rsidR="00D77624">
                              <w:rPr>
                                <w:b/>
                                <w:bCs/>
                              </w:rPr>
                              <w:t>8</w:t>
                            </w:r>
                            <w:r w:rsidR="003478CA">
                              <w:rPr>
                                <w:b/>
                                <w:bCs/>
                              </w:rPr>
                              <w:t xml:space="preserve"> tot en met lid</w:t>
                            </w:r>
                            <w:r w:rsidRPr="002A62AB">
                              <w:rPr>
                                <w:b/>
                                <w:bCs/>
                              </w:rPr>
                              <w:t xml:space="preserve"> </w:t>
                            </w:r>
                            <w:r w:rsidR="00D77624">
                              <w:rPr>
                                <w:b/>
                                <w:bCs/>
                              </w:rPr>
                              <w:t>11</w:t>
                            </w:r>
                            <w:r w:rsidRPr="002A62AB">
                              <w:rPr>
                                <w:b/>
                                <w:bCs/>
                              </w:rPr>
                              <w:t>:</w:t>
                            </w:r>
                          </w:p>
                          <w:p w14:paraId="26F795B7" w14:textId="77777777" w:rsidR="00115A95" w:rsidRDefault="00115A95" w:rsidP="00115A95"/>
                          <w:p w14:paraId="033754BE" w14:textId="77777777" w:rsidR="00115A95" w:rsidRDefault="00115A95" w:rsidP="00115A95"/>
                          <w:p w14:paraId="7CBAA688" w14:textId="77777777" w:rsidR="00115A95" w:rsidRDefault="00115A95" w:rsidP="00115A95"/>
                          <w:p w14:paraId="1F93A160" w14:textId="77777777" w:rsidR="00115A95" w:rsidRDefault="00115A95" w:rsidP="00115A95"/>
                          <w:p w14:paraId="7DA2B4EA" w14:textId="77777777" w:rsidR="00115A95" w:rsidRDefault="00115A95" w:rsidP="00115A95"/>
                          <w:p w14:paraId="66037B6D" w14:textId="77777777" w:rsidR="00115A95" w:rsidRDefault="00115A95" w:rsidP="00115A95"/>
                          <w:p w14:paraId="2EA2FFB5" w14:textId="77777777" w:rsidR="00115A95" w:rsidRDefault="00115A95" w:rsidP="00115A95"/>
                          <w:p w14:paraId="3E3886F0" w14:textId="77777777" w:rsidR="00115A95" w:rsidRDefault="00115A95" w:rsidP="00115A95"/>
                          <w:p w14:paraId="199D8A45" w14:textId="77777777" w:rsidR="00115A95" w:rsidRDefault="00115A95" w:rsidP="00115A95">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FA2D27" id="_x0000_s1028" type="#_x0000_t202" style="position:absolute;left:0;text-align:left;margin-left:0;margin-top:17.35pt;width:425.6pt;height:49.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AK&#10;tDciFQIAACYEAAAOAAAAAAAAAAAAAAAAAC4CAABkcnMvZTJvRG9jLnhtbFBLAQItABQABgAIAAAA&#10;IQAhG+td3AAAAAcBAAAPAAAAAAAAAAAAAAAAAG8EAABkcnMvZG93bnJldi54bWxQSwUGAAAAAAQA&#10;BADzAAAAeAUAAAAA&#10;">
                <v:textbox style="mso-fit-shape-to-text:t">
                  <w:txbxContent>
                    <w:p w14:paraId="33F05B9E" w14:textId="2F5DD634" w:rsidR="00115A95" w:rsidRPr="002A62AB" w:rsidRDefault="00115A95" w:rsidP="00115A95">
                      <w:pPr>
                        <w:rPr>
                          <w:b/>
                          <w:bCs/>
                        </w:rPr>
                      </w:pPr>
                      <w:r w:rsidRPr="002A62AB">
                        <w:rPr>
                          <w:b/>
                          <w:bCs/>
                        </w:rPr>
                        <w:t xml:space="preserve">Geef hier aan waarom </w:t>
                      </w:r>
                      <w:r w:rsidR="00D77624">
                        <w:rPr>
                          <w:b/>
                          <w:bCs/>
                        </w:rPr>
                        <w:t>wordt voldaan</w:t>
                      </w:r>
                      <w:r w:rsidR="00325225" w:rsidRPr="002A62AB">
                        <w:rPr>
                          <w:b/>
                          <w:bCs/>
                        </w:rPr>
                        <w:t xml:space="preserve"> </w:t>
                      </w:r>
                      <w:r w:rsidRPr="002A62AB">
                        <w:rPr>
                          <w:b/>
                          <w:bCs/>
                        </w:rPr>
                        <w:t xml:space="preserve">aan artikel </w:t>
                      </w:r>
                      <w:r w:rsidR="003478CA">
                        <w:rPr>
                          <w:b/>
                          <w:bCs/>
                        </w:rPr>
                        <w:t>4</w:t>
                      </w:r>
                      <w:r w:rsidR="00D77624">
                        <w:rPr>
                          <w:b/>
                          <w:bCs/>
                        </w:rPr>
                        <w:t>2</w:t>
                      </w:r>
                      <w:r w:rsidRPr="002A62AB">
                        <w:rPr>
                          <w:b/>
                          <w:bCs/>
                        </w:rPr>
                        <w:t xml:space="preserve">, lid </w:t>
                      </w:r>
                      <w:r w:rsidR="00D77624">
                        <w:rPr>
                          <w:b/>
                          <w:bCs/>
                        </w:rPr>
                        <w:t>8</w:t>
                      </w:r>
                      <w:r w:rsidR="003478CA">
                        <w:rPr>
                          <w:b/>
                          <w:bCs/>
                        </w:rPr>
                        <w:t xml:space="preserve"> tot en met lid</w:t>
                      </w:r>
                      <w:r w:rsidRPr="002A62AB">
                        <w:rPr>
                          <w:b/>
                          <w:bCs/>
                        </w:rPr>
                        <w:t xml:space="preserve"> </w:t>
                      </w:r>
                      <w:r w:rsidR="00D77624">
                        <w:rPr>
                          <w:b/>
                          <w:bCs/>
                        </w:rPr>
                        <w:t>11</w:t>
                      </w:r>
                      <w:r w:rsidRPr="002A62AB">
                        <w:rPr>
                          <w:b/>
                          <w:bCs/>
                        </w:rPr>
                        <w:t>:</w:t>
                      </w:r>
                    </w:p>
                    <w:p w14:paraId="26F795B7" w14:textId="77777777" w:rsidR="00115A95" w:rsidRDefault="00115A95" w:rsidP="00115A95"/>
                    <w:p w14:paraId="033754BE" w14:textId="77777777" w:rsidR="00115A95" w:rsidRDefault="00115A95" w:rsidP="00115A95"/>
                    <w:p w14:paraId="7CBAA688" w14:textId="77777777" w:rsidR="00115A95" w:rsidRDefault="00115A95" w:rsidP="00115A95"/>
                    <w:p w14:paraId="1F93A160" w14:textId="77777777" w:rsidR="00115A95" w:rsidRDefault="00115A95" w:rsidP="00115A95"/>
                    <w:p w14:paraId="7DA2B4EA" w14:textId="77777777" w:rsidR="00115A95" w:rsidRDefault="00115A95" w:rsidP="00115A95"/>
                    <w:p w14:paraId="66037B6D" w14:textId="77777777" w:rsidR="00115A95" w:rsidRDefault="00115A95" w:rsidP="00115A95"/>
                    <w:p w14:paraId="2EA2FFB5" w14:textId="77777777" w:rsidR="00115A95" w:rsidRDefault="00115A95" w:rsidP="00115A95"/>
                    <w:p w14:paraId="3E3886F0" w14:textId="77777777" w:rsidR="00115A95" w:rsidRDefault="00115A95" w:rsidP="00115A95"/>
                    <w:p w14:paraId="199D8A45" w14:textId="77777777" w:rsidR="00115A95" w:rsidRDefault="00115A95" w:rsidP="00115A95">
                      <w:r>
                        <w:t xml:space="preserve">  </w:t>
                      </w:r>
                    </w:p>
                  </w:txbxContent>
                </v:textbox>
                <w10:wrap type="topAndBottom" anchorx="margin"/>
              </v:shape>
            </w:pict>
          </mc:Fallback>
        </mc:AlternateContent>
      </w:r>
    </w:p>
    <w:p w14:paraId="1BDEF48F" w14:textId="4DB39FFB" w:rsidR="00BB0726" w:rsidRPr="00C72E38" w:rsidRDefault="00BB0726" w:rsidP="002C17E5">
      <w:pPr>
        <w:jc w:val="both"/>
      </w:pPr>
    </w:p>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9CB3" w14:textId="77777777" w:rsidR="00F23FBD" w:rsidRDefault="00F23F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4CFC" w14:textId="117F2102" w:rsidR="00D653A7" w:rsidRDefault="00D653A7" w:rsidP="00D653A7">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2F099D1E" wp14:editId="0820170B">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4" name="Afbeelding 4"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0110DF">
      <w:rPr>
        <w:rFonts w:asciiTheme="minorHAnsi" w:hAnsiTheme="minorHAnsi" w:cstheme="minorHAnsi"/>
        <w:b/>
        <w:bCs/>
        <w:color w:val="004A99"/>
      </w:rPr>
      <w:t>JTF</w:t>
    </w:r>
    <w:r>
      <w:rPr>
        <w:rFonts w:asciiTheme="minorHAnsi" w:hAnsiTheme="minorHAnsi" w:cstheme="minorHAnsi"/>
        <w:b/>
        <w:bCs/>
        <w:color w:val="004A99"/>
      </w:rPr>
      <w:t xml:space="preserve"> 2021-2027</w:t>
    </w:r>
  </w:p>
  <w:p w14:paraId="3F0D080E" w14:textId="77777777" w:rsidR="00F23FBD" w:rsidRPr="00D653A7" w:rsidRDefault="00F23FBD" w:rsidP="00D653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2005" w14:textId="77777777" w:rsidR="00F23FBD" w:rsidRDefault="00F23F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0110DF"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03282B17" w14:textId="204C1F9F" w:rsidR="00BC0FC3" w:rsidRDefault="00BC0FC3" w:rsidP="00BC0FC3">
      <w:pPr>
        <w:pStyle w:val="Voetnoottekst"/>
      </w:pPr>
      <w:r>
        <w:rPr>
          <w:rStyle w:val="Voetnootmarkering"/>
        </w:rPr>
        <w:footnoteRef/>
      </w:r>
      <w:r>
        <w:t xml:space="preserve"> L</w:t>
      </w:r>
      <w:r w:rsidRPr="00B32B7F">
        <w:t xml:space="preserve">et op: </w:t>
      </w:r>
      <w:r>
        <w:t>dit artikel betreft een concurrerende</w:t>
      </w:r>
      <w:r w:rsidRPr="00B32B7F">
        <w:t xml:space="preserve"> biedprocedure. D</w:t>
      </w:r>
      <w:r>
        <w:t xml:space="preserve">e kans dat dit bij </w:t>
      </w:r>
      <w:r w:rsidRPr="00B32B7F">
        <w:t>een</w:t>
      </w:r>
      <w:r>
        <w:t xml:space="preserve"> regulier</w:t>
      </w:r>
      <w:r w:rsidRPr="00B32B7F">
        <w:t xml:space="preserve"> EFRO-project</w:t>
      </w:r>
      <w:r>
        <w:t xml:space="preserve"> van toepassing is, is nihil.</w:t>
      </w:r>
      <w:r w:rsidRPr="00B32B7F">
        <w:t xml:space="preserve"> </w:t>
      </w:r>
    </w:p>
    <w:p w14:paraId="5BE2D85F" w14:textId="3709CF52" w:rsidR="00BC0FC3" w:rsidRDefault="00BC0FC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D6C8" w14:textId="77777777" w:rsidR="00F23FBD" w:rsidRDefault="00F23F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AE69" w14:textId="77777777" w:rsidR="00F23FBD" w:rsidRDefault="00F23F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0F96" w14:textId="77777777" w:rsidR="00F23FBD" w:rsidRDefault="00F23F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C783E"/>
    <w:multiLevelType w:val="hybridMultilevel"/>
    <w:tmpl w:val="1C9CE346"/>
    <w:lvl w:ilvl="0" w:tplc="0FC2D46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9351448">
    <w:abstractNumId w:val="8"/>
  </w:num>
  <w:num w:numId="2" w16cid:durableId="700016476">
    <w:abstractNumId w:val="3"/>
  </w:num>
  <w:num w:numId="3" w16cid:durableId="1252857613">
    <w:abstractNumId w:val="12"/>
  </w:num>
  <w:num w:numId="4" w16cid:durableId="812330001">
    <w:abstractNumId w:val="7"/>
  </w:num>
  <w:num w:numId="5" w16cid:durableId="301036265">
    <w:abstractNumId w:val="0"/>
  </w:num>
  <w:num w:numId="6" w16cid:durableId="90972715">
    <w:abstractNumId w:val="11"/>
  </w:num>
  <w:num w:numId="7" w16cid:durableId="1178156162">
    <w:abstractNumId w:val="1"/>
  </w:num>
  <w:num w:numId="8" w16cid:durableId="1967154204">
    <w:abstractNumId w:val="9"/>
  </w:num>
  <w:num w:numId="9" w16cid:durableId="2007511173">
    <w:abstractNumId w:val="6"/>
  </w:num>
  <w:num w:numId="10" w16cid:durableId="1587962371">
    <w:abstractNumId w:val="7"/>
  </w:num>
  <w:num w:numId="11" w16cid:durableId="122120318">
    <w:abstractNumId w:val="7"/>
  </w:num>
  <w:num w:numId="12" w16cid:durableId="861087393">
    <w:abstractNumId w:val="2"/>
  </w:num>
  <w:num w:numId="13" w16cid:durableId="1147084977">
    <w:abstractNumId w:val="4"/>
  </w:num>
  <w:num w:numId="14" w16cid:durableId="1924802473">
    <w:abstractNumId w:val="10"/>
  </w:num>
  <w:num w:numId="15" w16cid:durableId="1920365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349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110DF"/>
    <w:rsid w:val="00021666"/>
    <w:rsid w:val="00033BFE"/>
    <w:rsid w:val="00072673"/>
    <w:rsid w:val="000A18D9"/>
    <w:rsid w:val="000D1C37"/>
    <w:rsid w:val="000D3E45"/>
    <w:rsid w:val="000E3BCF"/>
    <w:rsid w:val="000F3550"/>
    <w:rsid w:val="00102CAF"/>
    <w:rsid w:val="00102D36"/>
    <w:rsid w:val="00110A65"/>
    <w:rsid w:val="00115A95"/>
    <w:rsid w:val="001248A8"/>
    <w:rsid w:val="00141324"/>
    <w:rsid w:val="0014538C"/>
    <w:rsid w:val="001942A3"/>
    <w:rsid w:val="001955D0"/>
    <w:rsid w:val="00197612"/>
    <w:rsid w:val="001B5BF7"/>
    <w:rsid w:val="001C405B"/>
    <w:rsid w:val="001C517A"/>
    <w:rsid w:val="001D03DE"/>
    <w:rsid w:val="00201945"/>
    <w:rsid w:val="00211907"/>
    <w:rsid w:val="00267E3F"/>
    <w:rsid w:val="0028560D"/>
    <w:rsid w:val="002A40B7"/>
    <w:rsid w:val="002C17E5"/>
    <w:rsid w:val="002D7EE3"/>
    <w:rsid w:val="00325225"/>
    <w:rsid w:val="003408E8"/>
    <w:rsid w:val="003478CA"/>
    <w:rsid w:val="0036762E"/>
    <w:rsid w:val="00367FFA"/>
    <w:rsid w:val="003812AF"/>
    <w:rsid w:val="003849F9"/>
    <w:rsid w:val="003950D3"/>
    <w:rsid w:val="003A5CE6"/>
    <w:rsid w:val="003D6486"/>
    <w:rsid w:val="00406012"/>
    <w:rsid w:val="004138C8"/>
    <w:rsid w:val="0042793D"/>
    <w:rsid w:val="00447DEC"/>
    <w:rsid w:val="00452EBF"/>
    <w:rsid w:val="00454CF1"/>
    <w:rsid w:val="004622C9"/>
    <w:rsid w:val="00465D20"/>
    <w:rsid w:val="00482EA6"/>
    <w:rsid w:val="004C0A56"/>
    <w:rsid w:val="004C76F8"/>
    <w:rsid w:val="004D55F1"/>
    <w:rsid w:val="004D7111"/>
    <w:rsid w:val="00504551"/>
    <w:rsid w:val="00511F93"/>
    <w:rsid w:val="00524790"/>
    <w:rsid w:val="005258BA"/>
    <w:rsid w:val="005471E0"/>
    <w:rsid w:val="00571B15"/>
    <w:rsid w:val="00571B71"/>
    <w:rsid w:val="005831C5"/>
    <w:rsid w:val="005E6B57"/>
    <w:rsid w:val="005F161A"/>
    <w:rsid w:val="005F34FE"/>
    <w:rsid w:val="005F578C"/>
    <w:rsid w:val="005F60F6"/>
    <w:rsid w:val="00621815"/>
    <w:rsid w:val="00627D64"/>
    <w:rsid w:val="00630F0B"/>
    <w:rsid w:val="006571CE"/>
    <w:rsid w:val="00685E27"/>
    <w:rsid w:val="0069086D"/>
    <w:rsid w:val="006A53D1"/>
    <w:rsid w:val="006D3559"/>
    <w:rsid w:val="006E7CA7"/>
    <w:rsid w:val="006F05CC"/>
    <w:rsid w:val="006F631B"/>
    <w:rsid w:val="0070158F"/>
    <w:rsid w:val="007045B8"/>
    <w:rsid w:val="0075030E"/>
    <w:rsid w:val="007840F7"/>
    <w:rsid w:val="007F5D2B"/>
    <w:rsid w:val="00822991"/>
    <w:rsid w:val="00833709"/>
    <w:rsid w:val="00834F47"/>
    <w:rsid w:val="008418FE"/>
    <w:rsid w:val="00844448"/>
    <w:rsid w:val="00881667"/>
    <w:rsid w:val="008858B5"/>
    <w:rsid w:val="00892732"/>
    <w:rsid w:val="00893CDE"/>
    <w:rsid w:val="00894ACB"/>
    <w:rsid w:val="008C4B99"/>
    <w:rsid w:val="008E1E4D"/>
    <w:rsid w:val="00912F32"/>
    <w:rsid w:val="009226F1"/>
    <w:rsid w:val="00925438"/>
    <w:rsid w:val="009436D9"/>
    <w:rsid w:val="00962016"/>
    <w:rsid w:val="00995CA7"/>
    <w:rsid w:val="00996F85"/>
    <w:rsid w:val="009D5089"/>
    <w:rsid w:val="00A01C22"/>
    <w:rsid w:val="00A30351"/>
    <w:rsid w:val="00A50BB8"/>
    <w:rsid w:val="00A6352A"/>
    <w:rsid w:val="00A654BA"/>
    <w:rsid w:val="00A76A29"/>
    <w:rsid w:val="00AC7021"/>
    <w:rsid w:val="00AF6D7F"/>
    <w:rsid w:val="00B216D8"/>
    <w:rsid w:val="00B51362"/>
    <w:rsid w:val="00B83C70"/>
    <w:rsid w:val="00BA3684"/>
    <w:rsid w:val="00BB0726"/>
    <w:rsid w:val="00BB6462"/>
    <w:rsid w:val="00BC0FC3"/>
    <w:rsid w:val="00BE5191"/>
    <w:rsid w:val="00C344BC"/>
    <w:rsid w:val="00C72E38"/>
    <w:rsid w:val="00C80912"/>
    <w:rsid w:val="00C93E9E"/>
    <w:rsid w:val="00CD1E0D"/>
    <w:rsid w:val="00D034A9"/>
    <w:rsid w:val="00D1255B"/>
    <w:rsid w:val="00D548EE"/>
    <w:rsid w:val="00D653A7"/>
    <w:rsid w:val="00D7141E"/>
    <w:rsid w:val="00D77624"/>
    <w:rsid w:val="00D842D8"/>
    <w:rsid w:val="00D95557"/>
    <w:rsid w:val="00DA27F6"/>
    <w:rsid w:val="00DA6C3D"/>
    <w:rsid w:val="00DB5269"/>
    <w:rsid w:val="00DD409F"/>
    <w:rsid w:val="00E005DA"/>
    <w:rsid w:val="00E01953"/>
    <w:rsid w:val="00E161A6"/>
    <w:rsid w:val="00E43808"/>
    <w:rsid w:val="00E7133A"/>
    <w:rsid w:val="00E742BB"/>
    <w:rsid w:val="00E7563F"/>
    <w:rsid w:val="00EC2A89"/>
    <w:rsid w:val="00EC4CD0"/>
    <w:rsid w:val="00EE515E"/>
    <w:rsid w:val="00EF4900"/>
    <w:rsid w:val="00F13C3C"/>
    <w:rsid w:val="00F23A27"/>
    <w:rsid w:val="00F23FBD"/>
    <w:rsid w:val="00F5399E"/>
    <w:rsid w:val="00F55147"/>
    <w:rsid w:val="00F600BE"/>
    <w:rsid w:val="00F953EF"/>
    <w:rsid w:val="00FA3B14"/>
    <w:rsid w:val="00FA4764"/>
    <w:rsid w:val="00FA4F00"/>
    <w:rsid w:val="00FB0384"/>
    <w:rsid w:val="00FB3AB1"/>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BE5191"/>
    <w:rPr>
      <w:sz w:val="16"/>
      <w:szCs w:val="16"/>
    </w:rPr>
  </w:style>
  <w:style w:type="paragraph" w:styleId="Tekstopmerking">
    <w:name w:val="annotation text"/>
    <w:basedOn w:val="Standaard"/>
    <w:link w:val="TekstopmerkingChar"/>
    <w:uiPriority w:val="99"/>
    <w:semiHidden/>
    <w:unhideWhenUsed/>
    <w:rsid w:val="00BE5191"/>
    <w:pPr>
      <w:spacing w:line="240" w:lineRule="auto"/>
    </w:pPr>
    <w:rPr>
      <w:szCs w:val="20"/>
    </w:rPr>
  </w:style>
  <w:style w:type="character" w:customStyle="1" w:styleId="TekstopmerkingChar">
    <w:name w:val="Tekst opmerking Char"/>
    <w:basedOn w:val="Standaardalinea-lettertype"/>
    <w:link w:val="Tekstopmerking"/>
    <w:uiPriority w:val="99"/>
    <w:semiHidden/>
    <w:rsid w:val="00BE5191"/>
    <w:rPr>
      <w:szCs w:val="20"/>
    </w:rPr>
  </w:style>
  <w:style w:type="paragraph" w:styleId="Onderwerpvanopmerking">
    <w:name w:val="annotation subject"/>
    <w:basedOn w:val="Tekstopmerking"/>
    <w:next w:val="Tekstopmerking"/>
    <w:link w:val="OnderwerpvanopmerkingChar"/>
    <w:uiPriority w:val="99"/>
    <w:semiHidden/>
    <w:unhideWhenUsed/>
    <w:rsid w:val="00BE5191"/>
    <w:rPr>
      <w:b/>
      <w:bCs/>
    </w:rPr>
  </w:style>
  <w:style w:type="character" w:customStyle="1" w:styleId="OnderwerpvanopmerkingChar">
    <w:name w:val="Onderwerp van opmerking Char"/>
    <w:basedOn w:val="TekstopmerkingChar"/>
    <w:link w:val="Onderwerpvanopmerking"/>
    <w:uiPriority w:val="99"/>
    <w:semiHidden/>
    <w:rsid w:val="00BE5191"/>
    <w:rPr>
      <w:b/>
      <w:bCs/>
      <w:szCs w:val="20"/>
    </w:rPr>
  </w:style>
  <w:style w:type="paragraph" w:styleId="Revisie">
    <w:name w:val="Revision"/>
    <w:hidden/>
    <w:uiPriority w:val="99"/>
    <w:semiHidden/>
    <w:rsid w:val="000A18D9"/>
    <w:pPr>
      <w:spacing w:line="240" w:lineRule="auto"/>
      <w:ind w:left="0" w:firstLine="0"/>
    </w:pPr>
  </w:style>
  <w:style w:type="character" w:styleId="Hyperlink">
    <w:name w:val="Hyperlink"/>
    <w:basedOn w:val="Standaardalinea-lettertype"/>
    <w:uiPriority w:val="99"/>
    <w:unhideWhenUsed/>
    <w:rsid w:val="00115A95"/>
    <w:rPr>
      <w:color w:val="0000FF"/>
      <w:u w:val="single"/>
    </w:rPr>
  </w:style>
  <w:style w:type="paragraph" w:styleId="Koptekst">
    <w:name w:val="header"/>
    <w:basedOn w:val="Standaard"/>
    <w:link w:val="KoptekstChar"/>
    <w:uiPriority w:val="99"/>
    <w:unhideWhenUsed/>
    <w:rsid w:val="00F23F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67099">
      <w:bodyDiv w:val="1"/>
      <w:marLeft w:val="0"/>
      <w:marRight w:val="0"/>
      <w:marTop w:val="0"/>
      <w:marBottom w:val="0"/>
      <w:divBdr>
        <w:top w:val="none" w:sz="0" w:space="0" w:color="auto"/>
        <w:left w:val="none" w:sz="0" w:space="0" w:color="auto"/>
        <w:bottom w:val="none" w:sz="0" w:space="0" w:color="auto"/>
        <w:right w:val="none" w:sz="0" w:space="0" w:color="auto"/>
      </w:divBdr>
    </w:div>
    <w:div w:id="813913698">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Props1.xml><?xml version="1.0" encoding="utf-8"?>
<ds:datastoreItem xmlns:ds="http://schemas.openxmlformats.org/officeDocument/2006/customXml" ds:itemID="{66CEE621-4016-445B-9E36-619A03C81788}">
  <ds:schemaRefs>
    <ds:schemaRef ds:uri="http://schemas.openxmlformats.org/officeDocument/2006/bibliography"/>
  </ds:schemaRefs>
</ds:datastoreItem>
</file>

<file path=customXml/itemProps2.xml><?xml version="1.0" encoding="utf-8"?>
<ds:datastoreItem xmlns:ds="http://schemas.openxmlformats.org/officeDocument/2006/customXml" ds:itemID="{5109D8C5-9546-4089-8667-9984F0235821}"/>
</file>

<file path=customXml/itemProps3.xml><?xml version="1.0" encoding="utf-8"?>
<ds:datastoreItem xmlns:ds="http://schemas.openxmlformats.org/officeDocument/2006/customXml" ds:itemID="{7DF9C284-BFDA-41BC-8703-8B36C08C2574}">
  <ds:schemaRefs>
    <ds:schemaRef ds:uri="http://schemas.microsoft.com/sharepoint/v3/contenttype/forms"/>
  </ds:schemaRefs>
</ds:datastoreItem>
</file>

<file path=customXml/itemProps4.xml><?xml version="1.0" encoding="utf-8"?>
<ds:datastoreItem xmlns:ds="http://schemas.openxmlformats.org/officeDocument/2006/customXml" ds:itemID="{6F110414-B8C8-4DC6-9437-6321C66AB035}">
  <ds:schemaRefs>
    <ds:schemaRef ds:uri="http://schemas.microsoft.com/office/2006/metadata/properties"/>
    <ds:schemaRef ds:uri="http://schemas.microsoft.com/office/infopath/2007/PartnerControls"/>
    <ds:schemaRef ds:uri="3251086a-4173-45aa-a638-81eb6a300a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5684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2023-10-03T10:49:00Z</dcterms:created>
  <dcterms:modified xsi:type="dcterms:W3CDTF">2023-10-18T07:38:00Z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