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DA7C3" w14:textId="5C9292C5" w:rsidR="00360D99" w:rsidRPr="00326FA1" w:rsidRDefault="00360D99" w:rsidP="00360D99">
      <w:pPr>
        <w:rPr>
          <w:b/>
          <w:bCs/>
          <w:sz w:val="24"/>
          <w:szCs w:val="24"/>
        </w:rPr>
      </w:pPr>
      <w:bookmarkStart w:id="0" w:name="_Hlk87387065"/>
      <w:r w:rsidRPr="00C76D71">
        <w:rPr>
          <w:rStyle w:val="Kop1Char"/>
          <w:b/>
          <w:bCs/>
          <w:sz w:val="28"/>
          <w:szCs w:val="28"/>
        </w:rPr>
        <w:t>Formulier staatssteunanalyse</w:t>
      </w:r>
      <w:bookmarkEnd w:id="0"/>
      <w:r>
        <w:rPr>
          <w:b/>
          <w:bCs/>
          <w:sz w:val="24"/>
          <w:szCs w:val="24"/>
        </w:rPr>
        <w:br/>
      </w:r>
      <w:r>
        <w:rPr>
          <w:b/>
          <w:bCs/>
          <w:sz w:val="24"/>
          <w:szCs w:val="24"/>
        </w:rPr>
        <w:br/>
      </w:r>
      <w:r w:rsidRPr="00326FA1">
        <w:rPr>
          <w:b/>
          <w:bCs/>
          <w:sz w:val="24"/>
          <w:szCs w:val="24"/>
        </w:rPr>
        <w:t xml:space="preserve">artikel </w:t>
      </w:r>
      <w:r>
        <w:rPr>
          <w:b/>
          <w:bCs/>
          <w:sz w:val="24"/>
          <w:szCs w:val="24"/>
        </w:rPr>
        <w:t xml:space="preserve">47: </w:t>
      </w:r>
      <w:r w:rsidR="006E6FF1" w:rsidRPr="006E6FF1">
        <w:rPr>
          <w:b/>
          <w:bCs/>
          <w:sz w:val="24"/>
          <w:szCs w:val="24"/>
        </w:rPr>
        <w:t>Investeringssteun voor hulpbronnenefficiëntie en ter ondersteuning van de transitie naar een circulaire economie</w:t>
      </w:r>
    </w:p>
    <w:p w14:paraId="6406B6D5" w14:textId="77777777" w:rsidR="00360D99" w:rsidRDefault="00360D99" w:rsidP="00102CAF"/>
    <w:p w14:paraId="4D1DAA4F" w14:textId="54F54F24" w:rsidR="00102CAF" w:rsidRDefault="00102CAF" w:rsidP="00102CAF"/>
    <w:p w14:paraId="4A5F7609" w14:textId="2A73679C" w:rsidR="00360D99" w:rsidRPr="00615E39" w:rsidRDefault="00360D99" w:rsidP="00360D99">
      <w:pPr>
        <w:rPr>
          <w:b/>
          <w:bCs/>
          <w:u w:val="single"/>
        </w:rPr>
      </w:pPr>
      <w:bookmarkStart w:id="1" w:name="_Hlk87386336"/>
      <w:r w:rsidRPr="00615E39">
        <w:rPr>
          <w:b/>
          <w:bCs/>
          <w:u w:val="single"/>
        </w:rPr>
        <w:t>Inleiding</w:t>
      </w:r>
    </w:p>
    <w:p w14:paraId="4B4026B0" w14:textId="44E521FB" w:rsidR="00360D99" w:rsidRPr="00495FA1" w:rsidRDefault="00360D99" w:rsidP="00192E8F">
      <w:pPr>
        <w:jc w:val="both"/>
      </w:pPr>
      <w:r w:rsidRPr="00495FA1">
        <w:t xml:space="preserve">Om subsidie te mogen toekennen aan een project, moeten de activiteiten ‘staatssteunproof’ zijn. De Europese Commissie noemt de nodige voorwaarden op basis waarvan staatssteun mag worden verleend. Deze voorwaarden worden toegelicht in de artikelen van de zogenaamde </w:t>
      </w:r>
      <w:hyperlink r:id="rId11" w:history="1">
        <w:r w:rsidRPr="00495FA1">
          <w:rPr>
            <w:rStyle w:val="Hyperlink"/>
            <w:color w:val="auto"/>
          </w:rPr>
          <w:t>Algemene Groepsvrijstellingsverordening </w:t>
        </w:r>
      </w:hyperlink>
      <w:r w:rsidRPr="00495FA1">
        <w:t>(AGVV).</w:t>
      </w:r>
    </w:p>
    <w:p w14:paraId="77190B98" w14:textId="77777777" w:rsidR="00360D99" w:rsidRPr="00495FA1" w:rsidRDefault="00360D99" w:rsidP="00192E8F">
      <w:pPr>
        <w:jc w:val="both"/>
      </w:pPr>
    </w:p>
    <w:p w14:paraId="695AA684" w14:textId="77777777" w:rsidR="00192E8F" w:rsidRDefault="00360D99" w:rsidP="00192E8F">
      <w:pPr>
        <w:jc w:val="both"/>
      </w:pPr>
      <w:r w:rsidRPr="00495FA1">
        <w:t>Eén van de artikelen die gebruikt k</w:t>
      </w:r>
      <w:r>
        <w:t>an</w:t>
      </w:r>
      <w:r w:rsidRPr="00495FA1">
        <w:t xml:space="preserve"> worden </w:t>
      </w:r>
      <w:r w:rsidR="00192E8F">
        <w:t>i</w:t>
      </w:r>
      <w:r w:rsidRPr="00495FA1">
        <w:t xml:space="preserve">s artikel </w:t>
      </w:r>
      <w:r>
        <w:t>47</w:t>
      </w:r>
      <w:r w:rsidRPr="00495FA1">
        <w:t xml:space="preserve">. Dit artikel gaat over </w:t>
      </w:r>
      <w:r w:rsidR="004E0238">
        <w:t>investeringssteun ten behoeve van recycling en hergebruik van afval</w:t>
      </w:r>
      <w:r w:rsidR="00192E8F">
        <w:t>.</w:t>
      </w:r>
    </w:p>
    <w:p w14:paraId="16DEC85F" w14:textId="5701565A" w:rsidR="00360D99" w:rsidRDefault="00360D99" w:rsidP="00192E8F">
      <w:pPr>
        <w:jc w:val="both"/>
      </w:pPr>
      <w:r w:rsidRPr="00495FA1">
        <w:br/>
        <w:t>In d</w:t>
      </w:r>
      <w:r>
        <w:t xml:space="preserve">it </w:t>
      </w:r>
      <w:bookmarkStart w:id="2" w:name="_Hlk87387108"/>
      <w:r>
        <w:t xml:space="preserve">formulier </w:t>
      </w:r>
      <w:r w:rsidRPr="00495FA1">
        <w:t>staatssteun</w:t>
      </w:r>
      <w:r>
        <w:t>analyse</w:t>
      </w:r>
      <w:r w:rsidRPr="00495FA1">
        <w:t xml:space="preserve"> </w:t>
      </w:r>
      <w:bookmarkEnd w:id="2"/>
      <w:r w:rsidRPr="00495FA1">
        <w:t xml:space="preserve">is het aan de aanvrager om in de tekstvakken, per lid van artikel </w:t>
      </w:r>
      <w:r>
        <w:t>47</w:t>
      </w:r>
      <w:r w:rsidRPr="00495FA1">
        <w:t xml:space="preserve">, aan te geven waarom het project voldoet aan de gestelde voorwaarden. </w:t>
      </w:r>
      <w:r>
        <w:br/>
      </w:r>
    </w:p>
    <w:p w14:paraId="7BB9AB9E" w14:textId="77777777" w:rsidR="00360D99" w:rsidRDefault="00360D99" w:rsidP="00192E8F">
      <w:pPr>
        <w:jc w:val="both"/>
      </w:pPr>
      <w:r>
        <w:t xml:space="preserve">Let op: u geeft een toelichting in de tekstblokken.  </w:t>
      </w:r>
    </w:p>
    <w:bookmarkEnd w:id="1"/>
    <w:p w14:paraId="61E9EBD9" w14:textId="6609CBFB" w:rsidR="00360D99" w:rsidRDefault="00360D99" w:rsidP="00192E8F">
      <w:pPr>
        <w:jc w:val="both"/>
      </w:pPr>
    </w:p>
    <w:p w14:paraId="20E34875" w14:textId="77777777" w:rsidR="00360D99" w:rsidRDefault="00360D99" w:rsidP="00192E8F">
      <w:pPr>
        <w:jc w:val="both"/>
      </w:pPr>
    </w:p>
    <w:p w14:paraId="0C89D284" w14:textId="77777777" w:rsidR="00192E8F" w:rsidRDefault="00360D99" w:rsidP="00192E8F">
      <w:pPr>
        <w:jc w:val="both"/>
        <w:rPr>
          <w:b/>
          <w:bCs/>
          <w:i/>
          <w:iCs/>
          <w:u w:val="single"/>
        </w:rPr>
      </w:pPr>
      <w:bookmarkStart w:id="3" w:name="_Hlk87387140"/>
      <w:r w:rsidRPr="00326FA1">
        <w:rPr>
          <w:b/>
          <w:bCs/>
          <w:i/>
          <w:iCs/>
          <w:u w:val="single"/>
        </w:rPr>
        <w:t>Art</w:t>
      </w:r>
      <w:r w:rsidR="007536C4">
        <w:rPr>
          <w:b/>
          <w:bCs/>
          <w:i/>
          <w:iCs/>
          <w:u w:val="single"/>
        </w:rPr>
        <w:t>.</w:t>
      </w:r>
      <w:r w:rsidRPr="00326FA1">
        <w:rPr>
          <w:b/>
          <w:bCs/>
          <w:i/>
          <w:iCs/>
          <w:u w:val="single"/>
        </w:rPr>
        <w:t xml:space="preserve"> </w:t>
      </w:r>
      <w:r w:rsidR="002F5457">
        <w:rPr>
          <w:b/>
          <w:bCs/>
          <w:i/>
          <w:iCs/>
          <w:u w:val="single"/>
        </w:rPr>
        <w:t>47</w:t>
      </w:r>
      <w:r w:rsidRPr="00326FA1">
        <w:rPr>
          <w:b/>
          <w:bCs/>
          <w:i/>
          <w:iCs/>
          <w:u w:val="single"/>
        </w:rPr>
        <w:t>, lid 1:</w:t>
      </w:r>
      <w:bookmarkEnd w:id="3"/>
    </w:p>
    <w:p w14:paraId="3FF7DFCC" w14:textId="1F4E5C6A" w:rsidR="00102CAF" w:rsidRDefault="006E6FF1" w:rsidP="00192E8F">
      <w:pPr>
        <w:jc w:val="both"/>
        <w:rPr>
          <w:i/>
          <w:iCs/>
        </w:rPr>
      </w:pPr>
      <w:r w:rsidRPr="006E6FF1">
        <w:rPr>
          <w:i/>
          <w:iCs/>
        </w:rPr>
        <w:t>Investeringssteun ten behoeve van hulpbronnenefficiëntie en een circulaire economie is verenigbaar met de interne markt in de zin van artikel 107, lid 3, van het Verdrag en is van de aanmeldingsverplichting van artikel 108, lid 3, van het Verdrag vrijgesteld, mits de in dit artikel en in hoofdstuk I vastgestelde voorwaarden zijn vervuld</w:t>
      </w:r>
      <w:r>
        <w:rPr>
          <w:i/>
          <w:iCs/>
        </w:rPr>
        <w:t>.</w:t>
      </w:r>
    </w:p>
    <w:p w14:paraId="69212136" w14:textId="77777777" w:rsidR="00B803E5" w:rsidRDefault="00B803E5" w:rsidP="00192E8F">
      <w:pPr>
        <w:jc w:val="both"/>
        <w:rPr>
          <w:i/>
          <w:iCs/>
        </w:rPr>
      </w:pPr>
    </w:p>
    <w:p w14:paraId="30832647" w14:textId="77777777" w:rsidR="00B803E5" w:rsidRDefault="00B803E5" w:rsidP="00192E8F">
      <w:pPr>
        <w:jc w:val="both"/>
      </w:pPr>
    </w:p>
    <w:p w14:paraId="489AC65A" w14:textId="77777777" w:rsidR="00192E8F" w:rsidRDefault="00360D99" w:rsidP="00192E8F">
      <w:pPr>
        <w:jc w:val="both"/>
        <w:rPr>
          <w:b/>
          <w:bCs/>
          <w:i/>
          <w:iCs/>
          <w:u w:val="single"/>
        </w:rPr>
      </w:pPr>
      <w:r w:rsidRPr="00326FA1">
        <w:rPr>
          <w:b/>
          <w:bCs/>
          <w:i/>
          <w:iCs/>
          <w:u w:val="single"/>
        </w:rPr>
        <w:t>Art</w:t>
      </w:r>
      <w:r w:rsidR="007536C4">
        <w:rPr>
          <w:b/>
          <w:bCs/>
          <w:i/>
          <w:iCs/>
          <w:u w:val="single"/>
        </w:rPr>
        <w:t>.</w:t>
      </w:r>
      <w:r w:rsidRPr="00326FA1">
        <w:rPr>
          <w:b/>
          <w:bCs/>
          <w:i/>
          <w:iCs/>
          <w:u w:val="single"/>
        </w:rPr>
        <w:t xml:space="preserve"> </w:t>
      </w:r>
      <w:r w:rsidR="002F5457">
        <w:rPr>
          <w:b/>
          <w:bCs/>
          <w:i/>
          <w:iCs/>
          <w:u w:val="single"/>
        </w:rPr>
        <w:t>47</w:t>
      </w:r>
      <w:r w:rsidRPr="00326FA1">
        <w:rPr>
          <w:b/>
          <w:bCs/>
          <w:i/>
          <w:iCs/>
          <w:u w:val="single"/>
        </w:rPr>
        <w:t xml:space="preserve">, lid </w:t>
      </w:r>
      <w:r>
        <w:rPr>
          <w:b/>
          <w:bCs/>
          <w:i/>
          <w:iCs/>
          <w:u w:val="single"/>
        </w:rPr>
        <w:t>2:</w:t>
      </w:r>
    </w:p>
    <w:p w14:paraId="34E755D2" w14:textId="77777777" w:rsidR="006E6FF1" w:rsidRPr="006E6FF1" w:rsidRDefault="006E6FF1" w:rsidP="006E6FF1">
      <w:pPr>
        <w:jc w:val="both"/>
        <w:rPr>
          <w:i/>
          <w:iCs/>
        </w:rPr>
      </w:pPr>
      <w:r w:rsidRPr="006E6FF1">
        <w:rPr>
          <w:i/>
          <w:iCs/>
        </w:rPr>
        <w:t>De steun wordt toegekend voor de volgende soorten investeringen:</w:t>
      </w:r>
    </w:p>
    <w:p w14:paraId="4663C7ED" w14:textId="77777777" w:rsidR="006E6FF1" w:rsidRDefault="006E6FF1" w:rsidP="006E6FF1">
      <w:pPr>
        <w:jc w:val="both"/>
        <w:rPr>
          <w:i/>
          <w:iCs/>
        </w:rPr>
      </w:pPr>
    </w:p>
    <w:p w14:paraId="4BCBB565" w14:textId="48901393" w:rsidR="006E6FF1" w:rsidRPr="006E6FF1" w:rsidRDefault="006E6FF1" w:rsidP="006E6FF1">
      <w:pPr>
        <w:jc w:val="both"/>
        <w:rPr>
          <w:i/>
          <w:iCs/>
        </w:rPr>
      </w:pPr>
      <w:r w:rsidRPr="006E6FF1">
        <w:rPr>
          <w:i/>
          <w:iCs/>
        </w:rPr>
        <w:t>a)</w:t>
      </w:r>
      <w:r>
        <w:rPr>
          <w:i/>
          <w:iCs/>
        </w:rPr>
        <w:t xml:space="preserve"> </w:t>
      </w:r>
      <w:r w:rsidRPr="006E6FF1">
        <w:rPr>
          <w:i/>
          <w:iCs/>
        </w:rPr>
        <w:t>investeringen die de hulpbronnenefficiëntie verbeteren door een van deze beide of beide maatregelen:</w:t>
      </w:r>
    </w:p>
    <w:p w14:paraId="7AE08CF1" w14:textId="77777777" w:rsidR="006E6FF1" w:rsidRDefault="006E6FF1" w:rsidP="006E6FF1">
      <w:pPr>
        <w:jc w:val="both"/>
        <w:rPr>
          <w:i/>
          <w:iCs/>
        </w:rPr>
      </w:pPr>
    </w:p>
    <w:p w14:paraId="48385F57" w14:textId="77777777" w:rsidR="006E6FF1" w:rsidRDefault="006E6FF1" w:rsidP="006E6FF1">
      <w:pPr>
        <w:pStyle w:val="Lijstalinea"/>
        <w:numPr>
          <w:ilvl w:val="0"/>
          <w:numId w:val="15"/>
        </w:numPr>
        <w:jc w:val="both"/>
        <w:rPr>
          <w:i/>
          <w:iCs/>
        </w:rPr>
      </w:pPr>
      <w:r w:rsidRPr="00B803E5">
        <w:rPr>
          <w:i/>
          <w:iCs/>
        </w:rPr>
        <w:t>een nettoreductie van de bij de productie van een gegeven hoeveelheid output verbruikte hulpbronnen, vergeleken met een reeds bestaand productieproces dat door de begunstigde wordt gebruikt of met in lid 7 vermelde alternatieve projecten of activiteiten. De verbruikte hulpbronnen omvatten alle verbruikte materiële hulpbronnen, met uitzondering van energie, en de reductie wordt bepaald door het verbruik vóór en na de uitvoering van de steunmaatregel te meten of te ramen, rekening houdende met aanpassingen voor externe omstandigheden die op het hulpbronnenverbruik van invloed kunnen zijn;</w:t>
      </w:r>
    </w:p>
    <w:p w14:paraId="2B7D5470" w14:textId="77777777" w:rsidR="006E6FF1" w:rsidRDefault="006E6FF1" w:rsidP="006E6FF1">
      <w:pPr>
        <w:pStyle w:val="Lijstalinea"/>
        <w:ind w:left="1080"/>
        <w:jc w:val="both"/>
        <w:rPr>
          <w:i/>
          <w:iCs/>
        </w:rPr>
      </w:pPr>
    </w:p>
    <w:p w14:paraId="2FC8F6F6" w14:textId="77777777" w:rsidR="006E6FF1" w:rsidRDefault="006E6FF1" w:rsidP="006E6FF1">
      <w:pPr>
        <w:pStyle w:val="Lijstalinea"/>
        <w:ind w:left="1080"/>
        <w:jc w:val="both"/>
        <w:rPr>
          <w:i/>
          <w:iCs/>
        </w:rPr>
      </w:pPr>
    </w:p>
    <w:p w14:paraId="359669A6" w14:textId="64CFCA6C" w:rsidR="006E6FF1" w:rsidRDefault="006E6FF1" w:rsidP="00B803E5">
      <w:pPr>
        <w:pStyle w:val="Lijstalinea"/>
        <w:numPr>
          <w:ilvl w:val="0"/>
          <w:numId w:val="15"/>
        </w:numPr>
        <w:jc w:val="both"/>
        <w:rPr>
          <w:i/>
          <w:iCs/>
        </w:rPr>
      </w:pPr>
      <w:r w:rsidRPr="006E6FF1">
        <w:rPr>
          <w:i/>
          <w:iCs/>
        </w:rPr>
        <w:t>de vervanging van primaire grondstoffen of brandstoffen door secundaire (hergebruikte, teruggewonnen of gerecyclede) grondstoffen of brandstoffen;</w:t>
      </w:r>
    </w:p>
    <w:p w14:paraId="0E197716" w14:textId="77777777" w:rsidR="00102CAF" w:rsidRDefault="00102CAF" w:rsidP="00192E8F">
      <w:pPr>
        <w:jc w:val="both"/>
      </w:pPr>
    </w:p>
    <w:p w14:paraId="20606EC0" w14:textId="435292BA" w:rsidR="006E6FF1" w:rsidRPr="00B803E5" w:rsidRDefault="006E6FF1" w:rsidP="006E6FF1">
      <w:pPr>
        <w:jc w:val="both"/>
        <w:rPr>
          <w:i/>
          <w:iCs/>
        </w:rPr>
      </w:pPr>
      <w:r w:rsidRPr="00B803E5">
        <w:rPr>
          <w:i/>
          <w:iCs/>
        </w:rPr>
        <w:t>b)</w:t>
      </w:r>
      <w:r>
        <w:rPr>
          <w:i/>
          <w:iCs/>
        </w:rPr>
        <w:t xml:space="preserve"> </w:t>
      </w:r>
      <w:r w:rsidRPr="00B803E5">
        <w:rPr>
          <w:i/>
          <w:iCs/>
        </w:rPr>
        <w:t xml:space="preserve">investeringen voor de preventie en beperking van afvalproductie, de voorbereiding voor hergebruik, decontaminatie en recycling van door de begunstigde gegenereerd afval of investeringen voor de voorbereiding voor hergebruik, decontaminatie en recycling van afval </w:t>
      </w:r>
      <w:r w:rsidRPr="00B803E5">
        <w:rPr>
          <w:i/>
          <w:iCs/>
        </w:rPr>
        <w:lastRenderedPageBreak/>
        <w:t>geproduceerd door derden dat anders niet zou worden benut, verwijderd of verwerkt met een verwerkingsmethode die lager in de prioritaire volgorde van de in artikel 4, lid 1, van Richtlijn 2008/98/EG bedoelde afvalhiërarchie staat, of op een minder hulpbronnenefficiënte manier, of tot een minder kwalitatieve recycling zou leiden;</w:t>
      </w:r>
    </w:p>
    <w:p w14:paraId="1D2FA325" w14:textId="77777777" w:rsidR="006E6FF1" w:rsidRDefault="006E6FF1" w:rsidP="006E6FF1">
      <w:pPr>
        <w:jc w:val="both"/>
        <w:rPr>
          <w:i/>
          <w:iCs/>
        </w:rPr>
      </w:pPr>
    </w:p>
    <w:p w14:paraId="518164CD" w14:textId="0F0F1C9F" w:rsidR="006E6FF1" w:rsidRPr="00B803E5" w:rsidRDefault="006E6FF1" w:rsidP="006E6FF1">
      <w:pPr>
        <w:jc w:val="both"/>
        <w:rPr>
          <w:i/>
          <w:iCs/>
        </w:rPr>
      </w:pPr>
      <w:r w:rsidRPr="00B803E5">
        <w:rPr>
          <w:i/>
          <w:iCs/>
        </w:rPr>
        <w:t>c)</w:t>
      </w:r>
      <w:r>
        <w:rPr>
          <w:i/>
          <w:iCs/>
        </w:rPr>
        <w:t xml:space="preserve"> </w:t>
      </w:r>
      <w:r w:rsidRPr="00B803E5">
        <w:rPr>
          <w:i/>
          <w:iCs/>
        </w:rPr>
        <w:t>investeringen voor het inzamelen, sorteren, decontamineren, voorbehandelen en behandelen van andere door de begunstigde of door derden geproduceerde producten, materialen of stoffen die anders niet of op een minder hulpbronnenefficiënte manier zouden worden gebruikt;</w:t>
      </w:r>
    </w:p>
    <w:p w14:paraId="223633CA" w14:textId="77777777" w:rsidR="006E6FF1" w:rsidRDefault="006E6FF1" w:rsidP="006E6FF1">
      <w:pPr>
        <w:jc w:val="both"/>
        <w:rPr>
          <w:i/>
          <w:iCs/>
        </w:rPr>
      </w:pPr>
    </w:p>
    <w:p w14:paraId="5CE0F7AD" w14:textId="1BD4A356" w:rsidR="006E6FF1" w:rsidRPr="00B803E5" w:rsidRDefault="006E6FF1" w:rsidP="006E6FF1">
      <w:pPr>
        <w:jc w:val="both"/>
        <w:rPr>
          <w:i/>
          <w:iCs/>
        </w:rPr>
      </w:pPr>
      <w:r w:rsidRPr="00B803E5">
        <w:rPr>
          <w:i/>
          <w:iCs/>
        </w:rPr>
        <w:t>d)</w:t>
      </w:r>
      <w:r>
        <w:rPr>
          <w:i/>
          <w:iCs/>
        </w:rPr>
        <w:t xml:space="preserve"> </w:t>
      </w:r>
      <w:r w:rsidRPr="00B803E5">
        <w:rPr>
          <w:i/>
          <w:iCs/>
        </w:rPr>
        <w:t>investeringen voor de gescheiden inzameling en sortering van afval met het oog op de voorbereiding ervan voor hergebruik of recycling.</w:t>
      </w:r>
    </w:p>
    <w:p w14:paraId="54340CA5" w14:textId="77777777" w:rsidR="006E6FF1" w:rsidRDefault="006E6FF1" w:rsidP="00192E8F">
      <w:pPr>
        <w:jc w:val="both"/>
      </w:pPr>
    </w:p>
    <w:p w14:paraId="09459E5E" w14:textId="77777777" w:rsidR="006E6FF1" w:rsidRDefault="006E6FF1" w:rsidP="00192E8F">
      <w:pPr>
        <w:jc w:val="both"/>
      </w:pPr>
    </w:p>
    <w:p w14:paraId="20ED8639" w14:textId="77777777" w:rsidR="00192E8F" w:rsidRDefault="00360D99" w:rsidP="00192E8F">
      <w:pPr>
        <w:jc w:val="both"/>
        <w:rPr>
          <w:b/>
          <w:bCs/>
          <w:i/>
          <w:iCs/>
          <w:u w:val="single"/>
        </w:rPr>
      </w:pPr>
      <w:r w:rsidRPr="00326FA1">
        <w:rPr>
          <w:b/>
          <w:bCs/>
          <w:i/>
          <w:iCs/>
          <w:u w:val="single"/>
        </w:rPr>
        <w:t>Art</w:t>
      </w:r>
      <w:r w:rsidR="007536C4">
        <w:rPr>
          <w:b/>
          <w:bCs/>
          <w:i/>
          <w:iCs/>
          <w:u w:val="single"/>
        </w:rPr>
        <w:t>.</w:t>
      </w:r>
      <w:r w:rsidRPr="00326FA1">
        <w:rPr>
          <w:b/>
          <w:bCs/>
          <w:i/>
          <w:iCs/>
          <w:u w:val="single"/>
        </w:rPr>
        <w:t xml:space="preserve"> </w:t>
      </w:r>
      <w:r w:rsidR="002F5457">
        <w:rPr>
          <w:b/>
          <w:bCs/>
          <w:i/>
          <w:iCs/>
          <w:u w:val="single"/>
        </w:rPr>
        <w:t>47</w:t>
      </w:r>
      <w:r w:rsidRPr="00326FA1">
        <w:rPr>
          <w:b/>
          <w:bCs/>
          <w:i/>
          <w:iCs/>
          <w:u w:val="single"/>
        </w:rPr>
        <w:t xml:space="preserve">, lid </w:t>
      </w:r>
      <w:r>
        <w:rPr>
          <w:b/>
          <w:bCs/>
          <w:i/>
          <w:iCs/>
          <w:u w:val="single"/>
        </w:rPr>
        <w:t>3:</w:t>
      </w:r>
    </w:p>
    <w:p w14:paraId="443A6E55" w14:textId="597361A2" w:rsidR="00C72E38" w:rsidRDefault="006E6FF1" w:rsidP="00192E8F">
      <w:pPr>
        <w:jc w:val="both"/>
        <w:rPr>
          <w:i/>
          <w:iCs/>
        </w:rPr>
      </w:pPr>
      <w:r w:rsidRPr="006E6FF1">
        <w:rPr>
          <w:i/>
          <w:iCs/>
        </w:rPr>
        <w:t>Steun voor activiteiten inzake afvalverwijdering en nuttige toepassing van afval om energie te produceren is op grond van dit artikel niet vrijgesteld van de aanmeldingsverplichting van artikel 108, lid 3, van het Verdrag</w:t>
      </w:r>
      <w:r>
        <w:rPr>
          <w:i/>
          <w:iCs/>
        </w:rPr>
        <w:t>.</w:t>
      </w:r>
    </w:p>
    <w:p w14:paraId="2E90CD95" w14:textId="77777777" w:rsidR="00B803E5" w:rsidRDefault="00B803E5" w:rsidP="00192E8F">
      <w:pPr>
        <w:jc w:val="both"/>
        <w:rPr>
          <w:i/>
          <w:iCs/>
        </w:rPr>
      </w:pPr>
    </w:p>
    <w:p w14:paraId="19105103" w14:textId="77777777" w:rsidR="00B803E5" w:rsidRDefault="00B803E5" w:rsidP="00192E8F">
      <w:pPr>
        <w:jc w:val="both"/>
      </w:pPr>
    </w:p>
    <w:p w14:paraId="62745C37" w14:textId="77777777" w:rsidR="00192E8F" w:rsidRDefault="00360D99" w:rsidP="00192E8F">
      <w:pPr>
        <w:jc w:val="both"/>
        <w:rPr>
          <w:b/>
          <w:bCs/>
          <w:i/>
          <w:iCs/>
          <w:u w:val="single"/>
        </w:rPr>
      </w:pPr>
      <w:r w:rsidRPr="00326FA1">
        <w:rPr>
          <w:b/>
          <w:bCs/>
          <w:i/>
          <w:iCs/>
          <w:u w:val="single"/>
        </w:rPr>
        <w:t>Art</w:t>
      </w:r>
      <w:r w:rsidR="007536C4">
        <w:rPr>
          <w:b/>
          <w:bCs/>
          <w:i/>
          <w:iCs/>
          <w:u w:val="single"/>
        </w:rPr>
        <w:t>.</w:t>
      </w:r>
      <w:r w:rsidRPr="00326FA1">
        <w:rPr>
          <w:b/>
          <w:bCs/>
          <w:i/>
          <w:iCs/>
          <w:u w:val="single"/>
        </w:rPr>
        <w:t xml:space="preserve"> </w:t>
      </w:r>
      <w:r w:rsidR="002F5457">
        <w:rPr>
          <w:b/>
          <w:bCs/>
          <w:i/>
          <w:iCs/>
          <w:u w:val="single"/>
        </w:rPr>
        <w:t>47</w:t>
      </w:r>
      <w:r w:rsidRPr="00326FA1">
        <w:rPr>
          <w:b/>
          <w:bCs/>
          <w:i/>
          <w:iCs/>
          <w:u w:val="single"/>
        </w:rPr>
        <w:t xml:space="preserve">, lid </w:t>
      </w:r>
      <w:r>
        <w:rPr>
          <w:b/>
          <w:bCs/>
          <w:i/>
          <w:iCs/>
          <w:u w:val="single"/>
        </w:rPr>
        <w:t>4:</w:t>
      </w:r>
    </w:p>
    <w:p w14:paraId="4345AD0B" w14:textId="39AD5314" w:rsidR="00912F32" w:rsidRDefault="006E6FF1" w:rsidP="00192E8F">
      <w:pPr>
        <w:jc w:val="both"/>
      </w:pPr>
      <w:r w:rsidRPr="006E6FF1">
        <w:rPr>
          <w:i/>
          <w:iCs/>
        </w:rPr>
        <w:t>De steun bevrijdt ondernemingen die afval produceren, niet van kosten of verplichtingen met betrekking tot de verwerking van afval waarvoor zij aansprakelijk zijn uit hoofde van Unierecht of nationaal recht, met inbegrip van regelingen inzake uitgebreide producentenverantwoordelijkheid, noch van kosten die als kosten van een normale bedrijfsvoering moeten worden beschouwd.</w:t>
      </w:r>
    </w:p>
    <w:p w14:paraId="0B2FB318" w14:textId="77777777" w:rsidR="00B803E5" w:rsidRDefault="00B803E5" w:rsidP="00192E8F">
      <w:pPr>
        <w:jc w:val="both"/>
        <w:rPr>
          <w:b/>
          <w:bCs/>
          <w:i/>
          <w:iCs/>
          <w:u w:val="single"/>
        </w:rPr>
      </w:pPr>
    </w:p>
    <w:p w14:paraId="669505D6" w14:textId="77777777" w:rsidR="00B803E5" w:rsidRDefault="00B803E5" w:rsidP="00192E8F">
      <w:pPr>
        <w:jc w:val="both"/>
        <w:rPr>
          <w:b/>
          <w:bCs/>
          <w:i/>
          <w:iCs/>
          <w:u w:val="single"/>
        </w:rPr>
      </w:pPr>
    </w:p>
    <w:p w14:paraId="3E7BAFAF" w14:textId="3FF64A81" w:rsidR="00192E8F" w:rsidRDefault="00360D99" w:rsidP="00192E8F">
      <w:pPr>
        <w:jc w:val="both"/>
        <w:rPr>
          <w:b/>
          <w:bCs/>
          <w:i/>
          <w:iCs/>
          <w:u w:val="single"/>
        </w:rPr>
      </w:pPr>
      <w:r w:rsidRPr="00326FA1">
        <w:rPr>
          <w:b/>
          <w:bCs/>
          <w:i/>
          <w:iCs/>
          <w:u w:val="single"/>
        </w:rPr>
        <w:t>Art</w:t>
      </w:r>
      <w:r w:rsidR="007536C4">
        <w:rPr>
          <w:b/>
          <w:bCs/>
          <w:i/>
          <w:iCs/>
          <w:u w:val="single"/>
        </w:rPr>
        <w:t>.</w:t>
      </w:r>
      <w:r w:rsidRPr="00326FA1">
        <w:rPr>
          <w:b/>
          <w:bCs/>
          <w:i/>
          <w:iCs/>
          <w:u w:val="single"/>
        </w:rPr>
        <w:t xml:space="preserve"> </w:t>
      </w:r>
      <w:r w:rsidR="002F5457">
        <w:rPr>
          <w:b/>
          <w:bCs/>
          <w:i/>
          <w:iCs/>
          <w:u w:val="single"/>
        </w:rPr>
        <w:t>47</w:t>
      </w:r>
      <w:r w:rsidRPr="00326FA1">
        <w:rPr>
          <w:b/>
          <w:bCs/>
          <w:i/>
          <w:iCs/>
          <w:u w:val="single"/>
        </w:rPr>
        <w:t xml:space="preserve">, lid </w:t>
      </w:r>
      <w:r>
        <w:rPr>
          <w:b/>
          <w:bCs/>
          <w:i/>
          <w:iCs/>
          <w:u w:val="single"/>
        </w:rPr>
        <w:t>5:</w:t>
      </w:r>
    </w:p>
    <w:p w14:paraId="5B5526A9" w14:textId="3B26CA1E" w:rsidR="00E324E8" w:rsidRDefault="006E6FF1" w:rsidP="00192E8F">
      <w:pPr>
        <w:jc w:val="both"/>
      </w:pPr>
      <w:r w:rsidRPr="006E6FF1">
        <w:rPr>
          <w:i/>
          <w:iCs/>
        </w:rPr>
        <w:t>De steun mag niet aanzetten tot de productie van afval of tot een intensiever gebruik van hulpbronnen.</w:t>
      </w:r>
    </w:p>
    <w:p w14:paraId="729D940E" w14:textId="77777777" w:rsidR="00B803E5" w:rsidRDefault="00B803E5" w:rsidP="006E6FF1">
      <w:pPr>
        <w:jc w:val="both"/>
        <w:rPr>
          <w:b/>
          <w:bCs/>
          <w:i/>
          <w:iCs/>
          <w:u w:val="single"/>
        </w:rPr>
      </w:pPr>
    </w:p>
    <w:p w14:paraId="69256138" w14:textId="77777777" w:rsidR="00B803E5" w:rsidRDefault="00B803E5" w:rsidP="006E6FF1">
      <w:pPr>
        <w:jc w:val="both"/>
        <w:rPr>
          <w:b/>
          <w:bCs/>
          <w:i/>
          <w:iCs/>
          <w:u w:val="single"/>
        </w:rPr>
      </w:pPr>
    </w:p>
    <w:p w14:paraId="3E546108" w14:textId="2245C1B7" w:rsidR="006E6FF1" w:rsidRDefault="006E6FF1" w:rsidP="006E6FF1">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47</w:t>
      </w:r>
      <w:r w:rsidRPr="00326FA1">
        <w:rPr>
          <w:b/>
          <w:bCs/>
          <w:i/>
          <w:iCs/>
          <w:u w:val="single"/>
        </w:rPr>
        <w:t xml:space="preserve">, lid </w:t>
      </w:r>
      <w:r>
        <w:rPr>
          <w:b/>
          <w:bCs/>
          <w:i/>
          <w:iCs/>
          <w:u w:val="single"/>
        </w:rPr>
        <w:t>6:</w:t>
      </w:r>
    </w:p>
    <w:p w14:paraId="32081288" w14:textId="6B9F9EE8" w:rsidR="006E6FF1" w:rsidRPr="00B803E5" w:rsidRDefault="006E6FF1" w:rsidP="00192E8F">
      <w:pPr>
        <w:jc w:val="both"/>
        <w:rPr>
          <w:i/>
          <w:iCs/>
        </w:rPr>
      </w:pPr>
      <w:r w:rsidRPr="00B803E5">
        <w:rPr>
          <w:i/>
          <w:iCs/>
        </w:rPr>
        <w:t>Investeringen in technologieën die een reeds winstgevende staande zakelijke praktijk in de hele Unie vormen, zijn niet vrijgesteld van de aanmeldingsverplichting van artikel 108, lid 3, van het Verdrag op grond van dit artikel.</w:t>
      </w:r>
    </w:p>
    <w:p w14:paraId="7D89B5DF" w14:textId="77777777" w:rsidR="006E6FF1" w:rsidRDefault="006E6FF1" w:rsidP="00192E8F">
      <w:pPr>
        <w:jc w:val="both"/>
      </w:pPr>
    </w:p>
    <w:p w14:paraId="22BCCC86" w14:textId="77777777" w:rsidR="006E6FF1" w:rsidRDefault="006E6FF1" w:rsidP="00192E8F">
      <w:pPr>
        <w:jc w:val="both"/>
      </w:pPr>
    </w:p>
    <w:p w14:paraId="10B2CD1B" w14:textId="5A24AFA6" w:rsidR="00360D99" w:rsidRDefault="00937C5B" w:rsidP="00192E8F">
      <w:pPr>
        <w:jc w:val="both"/>
      </w:pPr>
      <w:r w:rsidRPr="00BB0726">
        <w:rPr>
          <w:b/>
          <w:bCs/>
        </w:rPr>
        <w:t>Toelichting:</w:t>
      </w:r>
      <w:r>
        <w:t xml:space="preserve"> </w:t>
      </w:r>
      <w:r w:rsidR="00360D99">
        <w:br/>
      </w:r>
      <w:r>
        <w:t xml:space="preserve">Het projectplan dient gelet op lid </w:t>
      </w:r>
      <w:r w:rsidR="00F44188">
        <w:t>2</w:t>
      </w:r>
      <w:r>
        <w:t xml:space="preserve"> recycling (of hergebruik van afval)</w:t>
      </w:r>
      <w:r w:rsidRPr="00007469">
        <w:t xml:space="preserve"> </w:t>
      </w:r>
      <w:r>
        <w:t>te betreffen</w:t>
      </w:r>
      <w:r w:rsidR="00360D99">
        <w:t>:</w:t>
      </w:r>
    </w:p>
    <w:p w14:paraId="7D31DAF7" w14:textId="77777777" w:rsidR="00360D99" w:rsidRDefault="00360D99" w:rsidP="00192E8F">
      <w:pPr>
        <w:jc w:val="both"/>
      </w:pPr>
    </w:p>
    <w:p w14:paraId="3BE52D6B" w14:textId="77777777" w:rsidR="00F44188" w:rsidRDefault="00360D99" w:rsidP="00192E8F">
      <w:pPr>
        <w:jc w:val="both"/>
      </w:pPr>
      <w:r>
        <w:t>“</w:t>
      </w:r>
      <w:r w:rsidR="00937C5B" w:rsidRPr="00054E66">
        <w:t xml:space="preserve">recycling”: </w:t>
      </w:r>
      <w:r w:rsidR="00F44188" w:rsidRPr="00F44188">
        <w:t>recycling zoals gedefinieerd in artikel 3, punt 17, van Richtlijn 2008/98/EG;</w:t>
      </w:r>
    </w:p>
    <w:p w14:paraId="3AAB6423" w14:textId="77777777" w:rsidR="00F44188" w:rsidRDefault="00F44188" w:rsidP="00192E8F">
      <w:pPr>
        <w:jc w:val="both"/>
      </w:pPr>
    </w:p>
    <w:p w14:paraId="672BD6DA" w14:textId="68539E0D" w:rsidR="00F44188" w:rsidRPr="00B803E5" w:rsidRDefault="00F44188" w:rsidP="00192E8F">
      <w:pPr>
        <w:jc w:val="both"/>
        <w:rPr>
          <w:u w:val="single"/>
        </w:rPr>
      </w:pPr>
      <w:r w:rsidRPr="00B803E5">
        <w:rPr>
          <w:u w:val="single"/>
        </w:rPr>
        <w:t>Richtlijn 2008/98/EG</w:t>
      </w:r>
    </w:p>
    <w:p w14:paraId="10C89266" w14:textId="730B038C" w:rsidR="00F44188" w:rsidRDefault="00F44188" w:rsidP="00F44188">
      <w:pPr>
        <w:jc w:val="both"/>
      </w:pPr>
      <w:r>
        <w:t>17. „recycling”: elke nuttige toepassing waardoor afvalstoffen opnieuw worden berwerkt tot producten, materialen of stoffen, voor het oorspronkelijke doel of voor een ander doel. Dit omvat het opnieuw bewerken van organisch afval, maar het omvat niet energieterugwinning, noch het opnieuw bewerken tot materialen die bestemd zijn om te worden gebruikt als brandstof of als opvulmateriaal;</w:t>
      </w:r>
    </w:p>
    <w:p w14:paraId="4BC8021F" w14:textId="77777777" w:rsidR="00F44188" w:rsidRDefault="00F44188" w:rsidP="00F44188">
      <w:pPr>
        <w:jc w:val="both"/>
      </w:pPr>
    </w:p>
    <w:p w14:paraId="5708F34F" w14:textId="77777777" w:rsidR="00F44188" w:rsidRDefault="00F44188" w:rsidP="00F44188">
      <w:pPr>
        <w:jc w:val="both"/>
      </w:pPr>
    </w:p>
    <w:p w14:paraId="6549EFA9" w14:textId="5303D94A" w:rsidR="00E324E8" w:rsidRDefault="00937C5B" w:rsidP="00192E8F">
      <w:pPr>
        <w:jc w:val="both"/>
      </w:pPr>
      <w:r>
        <w:t>.</w:t>
      </w:r>
    </w:p>
    <w:p w14:paraId="15AAEFB7" w14:textId="66FFF92C" w:rsidR="00E324E8" w:rsidRDefault="00360D99" w:rsidP="00192E8F">
      <w:pPr>
        <w:jc w:val="both"/>
      </w:pPr>
      <w:r>
        <w:rPr>
          <w:noProof/>
          <w:lang w:eastAsia="nl-NL"/>
        </w:rPr>
        <mc:AlternateContent>
          <mc:Choice Requires="wps">
            <w:drawing>
              <wp:anchor distT="45720" distB="45720" distL="114300" distR="114300" simplePos="0" relativeHeight="251659264" behindDoc="0" locked="0" layoutInCell="1" allowOverlap="1" wp14:anchorId="60C34168" wp14:editId="3DB12CB1">
                <wp:simplePos x="0" y="0"/>
                <wp:positionH relativeFrom="margin">
                  <wp:posOffset>0</wp:posOffset>
                </wp:positionH>
                <wp:positionV relativeFrom="paragraph">
                  <wp:posOffset>227965</wp:posOffset>
                </wp:positionV>
                <wp:extent cx="5405119" cy="634364"/>
                <wp:effectExtent l="0" t="0" r="24765" b="13970"/>
                <wp:wrapTopAndBottom/>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6C48B6BD" w14:textId="44F314E1" w:rsidR="00360D99" w:rsidRPr="002A62AB" w:rsidRDefault="00360D99" w:rsidP="00192E8F">
                            <w:pPr>
                              <w:jc w:val="both"/>
                              <w:rPr>
                                <w:b/>
                                <w:bCs/>
                              </w:rPr>
                            </w:pPr>
                            <w:r w:rsidRPr="002A62AB">
                              <w:rPr>
                                <w:b/>
                                <w:bCs/>
                              </w:rPr>
                              <w:t xml:space="preserve">Geef hier aan waarom de activiteiten in uw projectplan </w:t>
                            </w:r>
                            <w:r>
                              <w:rPr>
                                <w:b/>
                                <w:bCs/>
                              </w:rPr>
                              <w:t xml:space="preserve">voldoen </w:t>
                            </w:r>
                            <w:r w:rsidRPr="002A62AB">
                              <w:rPr>
                                <w:b/>
                                <w:bCs/>
                              </w:rPr>
                              <w:t xml:space="preserve">aan artikel </w:t>
                            </w:r>
                            <w:r w:rsidR="002F5457">
                              <w:rPr>
                                <w:b/>
                                <w:bCs/>
                              </w:rPr>
                              <w:t>47</w:t>
                            </w:r>
                            <w:r w:rsidRPr="002A62AB">
                              <w:rPr>
                                <w:b/>
                                <w:bCs/>
                              </w:rPr>
                              <w:t xml:space="preserve">, lid </w:t>
                            </w:r>
                            <w:r w:rsidR="00B668FC">
                              <w:rPr>
                                <w:b/>
                                <w:bCs/>
                              </w:rPr>
                              <w:t>1</w:t>
                            </w:r>
                            <w:r>
                              <w:rPr>
                                <w:b/>
                                <w:bCs/>
                              </w:rPr>
                              <w:t xml:space="preserve"> tot en met lid </w:t>
                            </w:r>
                            <w:r w:rsidR="00F44188">
                              <w:rPr>
                                <w:b/>
                                <w:bCs/>
                              </w:rPr>
                              <w:t>6</w:t>
                            </w:r>
                            <w:r w:rsidRPr="002A62AB">
                              <w:rPr>
                                <w:b/>
                                <w:bCs/>
                              </w:rPr>
                              <w:t>:</w:t>
                            </w:r>
                          </w:p>
                          <w:p w14:paraId="3C9768FF" w14:textId="77777777" w:rsidR="00360D99" w:rsidRDefault="00360D99" w:rsidP="00360D99"/>
                          <w:p w14:paraId="17A3CDB0" w14:textId="77777777" w:rsidR="00360D99" w:rsidRDefault="00360D99" w:rsidP="00360D99"/>
                          <w:p w14:paraId="0216A49F" w14:textId="77777777" w:rsidR="00360D99" w:rsidRDefault="00360D99" w:rsidP="00360D99"/>
                          <w:p w14:paraId="39B60668" w14:textId="77777777" w:rsidR="00360D99" w:rsidRDefault="00360D99" w:rsidP="00360D99"/>
                          <w:p w14:paraId="1720A8CA" w14:textId="77777777" w:rsidR="00360D99" w:rsidRDefault="00360D99" w:rsidP="00360D99"/>
                          <w:p w14:paraId="5AF8122A" w14:textId="77777777" w:rsidR="00360D99" w:rsidRDefault="00360D99" w:rsidP="00360D99"/>
                          <w:p w14:paraId="79DDCBB7" w14:textId="77777777" w:rsidR="00360D99" w:rsidRDefault="00360D99" w:rsidP="00360D99"/>
                          <w:p w14:paraId="4CDD325A" w14:textId="77777777" w:rsidR="00360D99" w:rsidRDefault="00360D99" w:rsidP="00360D99"/>
                          <w:p w14:paraId="5CE17EBC" w14:textId="77777777" w:rsidR="00360D99" w:rsidRDefault="00360D99" w:rsidP="00360D99">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C34168" id="_x0000_t202" coordsize="21600,21600" o:spt="202" path="m,l,21600r21600,l21600,xe">
                <v:stroke joinstyle="miter"/>
                <v:path gradientshapeok="t" o:connecttype="rect"/>
              </v:shapetype>
              <v:shape id="Tekstvak 2" o:spid="_x0000_s1026" type="#_x0000_t202" style="position:absolute;left:0;text-align:left;margin-left:0;margin-top:17.95pt;width:425.6pt;height:49.9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qREAIAAB8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">
                <v:textbox style="mso-fit-shape-to-text:t">
                  <w:txbxContent>
                    <w:p w14:paraId="6C48B6BD" w14:textId="44F314E1" w:rsidR="00360D99" w:rsidRPr="002A62AB" w:rsidRDefault="00360D99" w:rsidP="00192E8F">
                      <w:pPr>
                        <w:jc w:val="both"/>
                        <w:rPr>
                          <w:b/>
                          <w:bCs/>
                        </w:rPr>
                      </w:pPr>
                      <w:r w:rsidRPr="002A62AB">
                        <w:rPr>
                          <w:b/>
                          <w:bCs/>
                        </w:rPr>
                        <w:t xml:space="preserve">Geef hier aan waarom de activiteiten in uw projectplan </w:t>
                      </w:r>
                      <w:r>
                        <w:rPr>
                          <w:b/>
                          <w:bCs/>
                        </w:rPr>
                        <w:t xml:space="preserve">voldoen </w:t>
                      </w:r>
                      <w:r w:rsidRPr="002A62AB">
                        <w:rPr>
                          <w:b/>
                          <w:bCs/>
                        </w:rPr>
                        <w:t xml:space="preserve">aan artikel </w:t>
                      </w:r>
                      <w:r w:rsidR="002F5457">
                        <w:rPr>
                          <w:b/>
                          <w:bCs/>
                        </w:rPr>
                        <w:t>47</w:t>
                      </w:r>
                      <w:r w:rsidRPr="002A62AB">
                        <w:rPr>
                          <w:b/>
                          <w:bCs/>
                        </w:rPr>
                        <w:t xml:space="preserve">, lid </w:t>
                      </w:r>
                      <w:r w:rsidR="00B668FC">
                        <w:rPr>
                          <w:b/>
                          <w:bCs/>
                        </w:rPr>
                        <w:t>1</w:t>
                      </w:r>
                      <w:r>
                        <w:rPr>
                          <w:b/>
                          <w:bCs/>
                        </w:rPr>
                        <w:t xml:space="preserve"> tot en met lid </w:t>
                      </w:r>
                      <w:r w:rsidR="00F44188">
                        <w:rPr>
                          <w:b/>
                          <w:bCs/>
                        </w:rPr>
                        <w:t>6</w:t>
                      </w:r>
                      <w:r w:rsidRPr="002A62AB">
                        <w:rPr>
                          <w:b/>
                          <w:bCs/>
                        </w:rPr>
                        <w:t>:</w:t>
                      </w:r>
                    </w:p>
                    <w:p w14:paraId="3C9768FF" w14:textId="77777777" w:rsidR="00360D99" w:rsidRDefault="00360D99" w:rsidP="00360D99"/>
                    <w:p w14:paraId="17A3CDB0" w14:textId="77777777" w:rsidR="00360D99" w:rsidRDefault="00360D99" w:rsidP="00360D99"/>
                    <w:p w14:paraId="0216A49F" w14:textId="77777777" w:rsidR="00360D99" w:rsidRDefault="00360D99" w:rsidP="00360D99"/>
                    <w:p w14:paraId="39B60668" w14:textId="77777777" w:rsidR="00360D99" w:rsidRDefault="00360D99" w:rsidP="00360D99"/>
                    <w:p w14:paraId="1720A8CA" w14:textId="77777777" w:rsidR="00360D99" w:rsidRDefault="00360D99" w:rsidP="00360D99"/>
                    <w:p w14:paraId="5AF8122A" w14:textId="77777777" w:rsidR="00360D99" w:rsidRDefault="00360D99" w:rsidP="00360D99"/>
                    <w:p w14:paraId="79DDCBB7" w14:textId="77777777" w:rsidR="00360D99" w:rsidRDefault="00360D99" w:rsidP="00360D99"/>
                    <w:p w14:paraId="4CDD325A" w14:textId="77777777" w:rsidR="00360D99" w:rsidRDefault="00360D99" w:rsidP="00360D99"/>
                    <w:p w14:paraId="5CE17EBC" w14:textId="77777777" w:rsidR="00360D99" w:rsidRDefault="00360D99" w:rsidP="00360D99">
                      <w:r>
                        <w:t xml:space="preserve">  </w:t>
                      </w:r>
                    </w:p>
                  </w:txbxContent>
                </v:textbox>
                <w10:wrap type="topAndBottom" anchorx="margin"/>
              </v:shape>
            </w:pict>
          </mc:Fallback>
        </mc:AlternateContent>
      </w:r>
    </w:p>
    <w:p w14:paraId="59BAF414" w14:textId="5AF930AA" w:rsidR="00E324E8" w:rsidRDefault="00E324E8" w:rsidP="00192E8F">
      <w:pPr>
        <w:jc w:val="both"/>
      </w:pPr>
    </w:p>
    <w:p w14:paraId="4F5EB96B" w14:textId="7FFC147C" w:rsidR="00E324E8" w:rsidRDefault="00E324E8" w:rsidP="00192E8F">
      <w:pPr>
        <w:jc w:val="both"/>
      </w:pPr>
    </w:p>
    <w:p w14:paraId="45866001" w14:textId="77777777" w:rsidR="00192E8F" w:rsidRDefault="007536C4" w:rsidP="00192E8F">
      <w:pPr>
        <w:jc w:val="both"/>
        <w:rPr>
          <w:b/>
          <w:bCs/>
          <w:i/>
          <w:iCs/>
          <w:u w:val="single"/>
        </w:rPr>
      </w:pPr>
      <w:r w:rsidRPr="00326FA1">
        <w:rPr>
          <w:b/>
          <w:bCs/>
          <w:i/>
          <w:iCs/>
          <w:u w:val="single"/>
        </w:rPr>
        <w:t>Art</w:t>
      </w:r>
      <w:r>
        <w:rPr>
          <w:b/>
          <w:bCs/>
          <w:i/>
          <w:iCs/>
          <w:u w:val="single"/>
        </w:rPr>
        <w:t>.</w:t>
      </w:r>
      <w:r w:rsidRPr="00326FA1">
        <w:rPr>
          <w:b/>
          <w:bCs/>
          <w:i/>
          <w:iCs/>
          <w:u w:val="single"/>
        </w:rPr>
        <w:t xml:space="preserve"> </w:t>
      </w:r>
      <w:r w:rsidR="002F5457">
        <w:rPr>
          <w:b/>
          <w:bCs/>
          <w:i/>
          <w:iCs/>
          <w:u w:val="single"/>
        </w:rPr>
        <w:t>47</w:t>
      </w:r>
      <w:r w:rsidRPr="00326FA1">
        <w:rPr>
          <w:b/>
          <w:bCs/>
          <w:i/>
          <w:iCs/>
          <w:u w:val="single"/>
        </w:rPr>
        <w:t xml:space="preserve">, lid </w:t>
      </w:r>
      <w:r>
        <w:rPr>
          <w:b/>
          <w:bCs/>
          <w:i/>
          <w:iCs/>
          <w:u w:val="single"/>
        </w:rPr>
        <w:t>7:</w:t>
      </w:r>
    </w:p>
    <w:p w14:paraId="005B3D9B" w14:textId="7BBB1895" w:rsidR="0030274E" w:rsidRDefault="0030274E" w:rsidP="0030274E">
      <w:pPr>
        <w:jc w:val="both"/>
        <w:rPr>
          <w:i/>
          <w:iCs/>
        </w:rPr>
      </w:pPr>
      <w:r w:rsidRPr="0030274E">
        <w:rPr>
          <w:i/>
          <w:iCs/>
        </w:rPr>
        <w:t>De in aanmerking komende kosten zijn de extra investeringskosten die worden bepaald door de totale investeringskosten van het project af te zetten tegen die van minder milieuvriendelijke projecten of activiteiten, die een van de volgende zijn:</w:t>
      </w:r>
    </w:p>
    <w:p w14:paraId="7BFD4495" w14:textId="77777777" w:rsidR="0030274E" w:rsidRPr="0030274E" w:rsidRDefault="0030274E" w:rsidP="0030274E">
      <w:pPr>
        <w:jc w:val="both"/>
        <w:rPr>
          <w:i/>
          <w:iCs/>
        </w:rPr>
      </w:pPr>
    </w:p>
    <w:p w14:paraId="70B08A1B" w14:textId="630CD56C" w:rsidR="0030274E" w:rsidRPr="0030274E" w:rsidRDefault="0030274E" w:rsidP="0030274E">
      <w:pPr>
        <w:jc w:val="both"/>
        <w:rPr>
          <w:i/>
          <w:iCs/>
        </w:rPr>
      </w:pPr>
      <w:r w:rsidRPr="0030274E">
        <w:rPr>
          <w:i/>
          <w:iCs/>
        </w:rPr>
        <w:t>a)</w:t>
      </w:r>
      <w:r>
        <w:rPr>
          <w:i/>
          <w:iCs/>
        </w:rPr>
        <w:t xml:space="preserve"> </w:t>
      </w:r>
      <w:r w:rsidRPr="0030274E">
        <w:rPr>
          <w:i/>
          <w:iCs/>
        </w:rPr>
        <w:t>een nulscenario bestaande uit een vergelijkbare investering die geloofwaardig zou zijn verwezenlijkt in een nieuw of reeds bestaand productieproces zonder steun en dat niet hetzelfde niveau van hulpbronnenefficiëntie behaalt;</w:t>
      </w:r>
    </w:p>
    <w:p w14:paraId="6964E97F" w14:textId="77777777" w:rsidR="0030274E" w:rsidRDefault="0030274E" w:rsidP="0030274E">
      <w:pPr>
        <w:jc w:val="both"/>
        <w:rPr>
          <w:i/>
          <w:iCs/>
        </w:rPr>
      </w:pPr>
    </w:p>
    <w:p w14:paraId="3F4E31C9" w14:textId="12082E97" w:rsidR="0030274E" w:rsidRPr="0030274E" w:rsidRDefault="0030274E" w:rsidP="0030274E">
      <w:pPr>
        <w:jc w:val="both"/>
        <w:rPr>
          <w:i/>
          <w:iCs/>
        </w:rPr>
      </w:pPr>
      <w:r w:rsidRPr="0030274E">
        <w:rPr>
          <w:i/>
          <w:iCs/>
        </w:rPr>
        <w:t>b)</w:t>
      </w:r>
      <w:r>
        <w:rPr>
          <w:i/>
          <w:iCs/>
        </w:rPr>
        <w:t xml:space="preserve"> </w:t>
      </w:r>
      <w:r w:rsidRPr="0030274E">
        <w:rPr>
          <w:i/>
          <w:iCs/>
        </w:rPr>
        <w:t>een nulscenario bestaande uit de behandeling van afval op basis van een verwerkingsmethode die lager in de prioritaire volgorde van de in artikel 4, lid 1, van Richtlijn 2008/98/EG bedoelde afvalhiërarchie staat, of de behandeling van afval, andere producten, materialen of stoffen op een minder hulpbronnenefficiënte manier;</w:t>
      </w:r>
    </w:p>
    <w:p w14:paraId="52B3B279" w14:textId="77777777" w:rsidR="0030274E" w:rsidRDefault="0030274E" w:rsidP="0030274E">
      <w:pPr>
        <w:jc w:val="both"/>
        <w:rPr>
          <w:i/>
          <w:iCs/>
        </w:rPr>
      </w:pPr>
    </w:p>
    <w:p w14:paraId="5628D1BE" w14:textId="4B9DCFCE" w:rsidR="0030274E" w:rsidRPr="0030274E" w:rsidRDefault="0030274E" w:rsidP="0030274E">
      <w:pPr>
        <w:jc w:val="both"/>
        <w:rPr>
          <w:i/>
          <w:iCs/>
        </w:rPr>
      </w:pPr>
      <w:r w:rsidRPr="0030274E">
        <w:rPr>
          <w:i/>
          <w:iCs/>
        </w:rPr>
        <w:t>c)</w:t>
      </w:r>
      <w:r>
        <w:rPr>
          <w:i/>
          <w:iCs/>
        </w:rPr>
        <w:t xml:space="preserve"> </w:t>
      </w:r>
      <w:r w:rsidRPr="0030274E">
        <w:rPr>
          <w:i/>
          <w:iCs/>
        </w:rPr>
        <w:t>een nulscenario bestaande uit een vergelijkbare investering in een conventioneel productieproces waarbij primaire grondstoffen of feedstock worden gebruikt, indien het verkregen secundaire (hergebruikte of teruggewonnen) product technisch en economisch substitueerbaar is met het primaire product.</w:t>
      </w:r>
    </w:p>
    <w:p w14:paraId="07793602" w14:textId="77777777" w:rsidR="0030274E" w:rsidRDefault="0030274E" w:rsidP="0030274E">
      <w:pPr>
        <w:jc w:val="both"/>
        <w:rPr>
          <w:i/>
          <w:iCs/>
        </w:rPr>
      </w:pPr>
    </w:p>
    <w:p w14:paraId="7703482D" w14:textId="709E6442" w:rsidR="0030274E" w:rsidRPr="0030274E" w:rsidRDefault="0030274E" w:rsidP="0030274E">
      <w:pPr>
        <w:jc w:val="both"/>
        <w:rPr>
          <w:i/>
          <w:iCs/>
        </w:rPr>
      </w:pPr>
      <w:r w:rsidRPr="0030274E">
        <w:rPr>
          <w:i/>
          <w:iCs/>
        </w:rPr>
        <w:t>In alle in de eerste alinea, punten a) en c) genoemde situaties komt het nulscenario overeen met een investering met een vergelijkbare outputcapaciteit en levensduur die voldoet aan reeds van kracht zijnde Unienormen. Het nulscenario is geloofwaardig in het licht van wettelijke vereisten, marktvoorwaarden en prikkels.</w:t>
      </w:r>
    </w:p>
    <w:p w14:paraId="0ECE398A" w14:textId="77777777" w:rsidR="0030274E" w:rsidRDefault="0030274E" w:rsidP="0030274E">
      <w:pPr>
        <w:jc w:val="both"/>
        <w:rPr>
          <w:i/>
          <w:iCs/>
        </w:rPr>
      </w:pPr>
    </w:p>
    <w:p w14:paraId="62D101C9" w14:textId="77777777" w:rsidR="0030274E" w:rsidRDefault="0030274E" w:rsidP="0030274E">
      <w:pPr>
        <w:jc w:val="both"/>
        <w:rPr>
          <w:i/>
          <w:iCs/>
        </w:rPr>
      </w:pPr>
      <w:r w:rsidRPr="0030274E">
        <w:rPr>
          <w:i/>
          <w:iCs/>
        </w:rPr>
        <w:t>Indien de investering bestaat in de installatie van een uitbreiding van een reeds bestaande faciliteit waarvoor geen minder milieuvriendelijk equivalent bestaat, of indien de aanvrager van de steun kan aantonen dat zonder steun geen investering zou worden gedaan, zijn de in aanmerking komende kosten de totale investeringskosten.</w:t>
      </w:r>
    </w:p>
    <w:p w14:paraId="72C99772" w14:textId="30EA5494" w:rsidR="00E324E8" w:rsidRDefault="00E324E8" w:rsidP="00192E8F">
      <w:pPr>
        <w:jc w:val="both"/>
      </w:pPr>
    </w:p>
    <w:p w14:paraId="695C3F04" w14:textId="3C15EAB0" w:rsidR="003B1041" w:rsidRPr="0035470F" w:rsidRDefault="003B1041" w:rsidP="00192E8F">
      <w:pPr>
        <w:jc w:val="both"/>
      </w:pPr>
    </w:p>
    <w:p w14:paraId="12EA77B7" w14:textId="77777777" w:rsidR="003B1041" w:rsidRDefault="003B1041" w:rsidP="00192E8F">
      <w:pPr>
        <w:jc w:val="both"/>
      </w:pPr>
    </w:p>
    <w:p w14:paraId="44A77AED" w14:textId="7FFE0986" w:rsidR="00007C8A" w:rsidRDefault="002F5457" w:rsidP="00192E8F">
      <w:pPr>
        <w:jc w:val="both"/>
      </w:pPr>
      <w:r>
        <w:rPr>
          <w:noProof/>
          <w:lang w:eastAsia="nl-NL"/>
        </w:rPr>
        <w:lastRenderedPageBreak/>
        <mc:AlternateContent>
          <mc:Choice Requires="wps">
            <w:drawing>
              <wp:anchor distT="45720" distB="45720" distL="114300" distR="114300" simplePos="0" relativeHeight="251663360" behindDoc="0" locked="0" layoutInCell="1" allowOverlap="1" wp14:anchorId="4FC06845" wp14:editId="236CEC05">
                <wp:simplePos x="0" y="0"/>
                <wp:positionH relativeFrom="margin">
                  <wp:posOffset>0</wp:posOffset>
                </wp:positionH>
                <wp:positionV relativeFrom="paragraph">
                  <wp:posOffset>220345</wp:posOffset>
                </wp:positionV>
                <wp:extent cx="5405119" cy="634364"/>
                <wp:effectExtent l="0" t="0" r="24765" b="13970"/>
                <wp:wrapTopAndBottom/>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3EA76F55" w14:textId="7598374F" w:rsidR="002F5457" w:rsidRPr="002A62AB" w:rsidRDefault="002F5457" w:rsidP="002F5457">
                            <w:pPr>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47</w:t>
                            </w:r>
                            <w:r w:rsidRPr="002A62AB">
                              <w:rPr>
                                <w:b/>
                                <w:bCs/>
                              </w:rPr>
                              <w:t xml:space="preserve">, lid </w:t>
                            </w:r>
                            <w:r>
                              <w:rPr>
                                <w:b/>
                                <w:bCs/>
                              </w:rPr>
                              <w:t>7</w:t>
                            </w:r>
                            <w:r w:rsidRPr="002A62AB">
                              <w:rPr>
                                <w:b/>
                                <w:bCs/>
                              </w:rPr>
                              <w:t>:</w:t>
                            </w:r>
                          </w:p>
                          <w:p w14:paraId="3866E90C" w14:textId="77777777" w:rsidR="002F5457" w:rsidRDefault="002F5457" w:rsidP="002F5457"/>
                          <w:p w14:paraId="5F073910" w14:textId="77777777" w:rsidR="002F5457" w:rsidRDefault="002F5457" w:rsidP="002F5457"/>
                          <w:p w14:paraId="3325147F" w14:textId="77777777" w:rsidR="002F5457" w:rsidRDefault="002F5457" w:rsidP="002F5457"/>
                          <w:p w14:paraId="30902561" w14:textId="77777777" w:rsidR="002F5457" w:rsidRDefault="002F5457" w:rsidP="002F5457"/>
                          <w:p w14:paraId="24F6BA87" w14:textId="77777777" w:rsidR="002F5457" w:rsidRDefault="002F5457" w:rsidP="002F5457"/>
                          <w:p w14:paraId="285EA10A" w14:textId="77777777" w:rsidR="002F5457" w:rsidRDefault="002F5457" w:rsidP="002F5457"/>
                          <w:p w14:paraId="5154C7DC" w14:textId="77777777" w:rsidR="002F5457" w:rsidRDefault="002F5457" w:rsidP="002F5457"/>
                          <w:p w14:paraId="3C842AD9" w14:textId="77777777" w:rsidR="002F5457" w:rsidRDefault="002F5457" w:rsidP="002F5457"/>
                          <w:p w14:paraId="356C9E33" w14:textId="77777777" w:rsidR="002F5457" w:rsidRDefault="002F5457" w:rsidP="002F5457">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C06845" id="Tekstvak 3" o:spid="_x0000_s1027" type="#_x0000_t202" style="position:absolute;left:0;text-align:left;margin-left:0;margin-top:17.35pt;width:425.6pt;height:49.95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">
                <v:textbox style="mso-fit-shape-to-text:t">
                  <w:txbxContent>
                    <w:p w14:paraId="3EA76F55" w14:textId="7598374F" w:rsidR="002F5457" w:rsidRPr="002A62AB" w:rsidRDefault="002F5457" w:rsidP="002F5457">
                      <w:pPr>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47</w:t>
                      </w:r>
                      <w:r w:rsidRPr="002A62AB">
                        <w:rPr>
                          <w:b/>
                          <w:bCs/>
                        </w:rPr>
                        <w:t xml:space="preserve">, lid </w:t>
                      </w:r>
                      <w:r>
                        <w:rPr>
                          <w:b/>
                          <w:bCs/>
                        </w:rPr>
                        <w:t>7</w:t>
                      </w:r>
                      <w:r w:rsidRPr="002A62AB">
                        <w:rPr>
                          <w:b/>
                          <w:bCs/>
                        </w:rPr>
                        <w:t>:</w:t>
                      </w:r>
                    </w:p>
                    <w:p w14:paraId="3866E90C" w14:textId="77777777" w:rsidR="002F5457" w:rsidRDefault="002F5457" w:rsidP="002F5457"/>
                    <w:p w14:paraId="5F073910" w14:textId="77777777" w:rsidR="002F5457" w:rsidRDefault="002F5457" w:rsidP="002F5457"/>
                    <w:p w14:paraId="3325147F" w14:textId="77777777" w:rsidR="002F5457" w:rsidRDefault="002F5457" w:rsidP="002F5457"/>
                    <w:p w14:paraId="30902561" w14:textId="77777777" w:rsidR="002F5457" w:rsidRDefault="002F5457" w:rsidP="002F5457"/>
                    <w:p w14:paraId="24F6BA87" w14:textId="77777777" w:rsidR="002F5457" w:rsidRDefault="002F5457" w:rsidP="002F5457"/>
                    <w:p w14:paraId="285EA10A" w14:textId="77777777" w:rsidR="002F5457" w:rsidRDefault="002F5457" w:rsidP="002F5457"/>
                    <w:p w14:paraId="5154C7DC" w14:textId="77777777" w:rsidR="002F5457" w:rsidRDefault="002F5457" w:rsidP="002F5457"/>
                    <w:p w14:paraId="3C842AD9" w14:textId="77777777" w:rsidR="002F5457" w:rsidRDefault="002F5457" w:rsidP="002F5457"/>
                    <w:p w14:paraId="356C9E33" w14:textId="77777777" w:rsidR="002F5457" w:rsidRDefault="002F5457" w:rsidP="002F5457">
                      <w:r>
                        <w:t xml:space="preserve">  </w:t>
                      </w:r>
                    </w:p>
                  </w:txbxContent>
                </v:textbox>
                <w10:wrap type="topAndBottom" anchorx="margin"/>
              </v:shape>
            </w:pict>
          </mc:Fallback>
        </mc:AlternateContent>
      </w:r>
    </w:p>
    <w:p w14:paraId="7A2A447C" w14:textId="77777777" w:rsidR="003B1041" w:rsidRPr="00E324E8" w:rsidRDefault="003B1041" w:rsidP="00192E8F">
      <w:pPr>
        <w:jc w:val="both"/>
      </w:pPr>
    </w:p>
    <w:p w14:paraId="764F105E" w14:textId="77777777" w:rsidR="00192E8F" w:rsidRDefault="002F5457" w:rsidP="00192E8F">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47</w:t>
      </w:r>
      <w:r w:rsidRPr="00326FA1">
        <w:rPr>
          <w:b/>
          <w:bCs/>
          <w:i/>
          <w:iCs/>
          <w:u w:val="single"/>
        </w:rPr>
        <w:t xml:space="preserve">, lid </w:t>
      </w:r>
      <w:r>
        <w:rPr>
          <w:b/>
          <w:bCs/>
          <w:i/>
          <w:iCs/>
          <w:u w:val="single"/>
        </w:rPr>
        <w:t>8:</w:t>
      </w:r>
    </w:p>
    <w:p w14:paraId="69CC9C9B" w14:textId="6285D6CE" w:rsidR="002F5457" w:rsidRDefault="000D2F4C" w:rsidP="00192E8F">
      <w:pPr>
        <w:jc w:val="both"/>
        <w:rPr>
          <w:i/>
          <w:iCs/>
        </w:rPr>
      </w:pPr>
      <w:r w:rsidRPr="000D2F4C">
        <w:rPr>
          <w:i/>
          <w:iCs/>
        </w:rPr>
        <w:t>De steunintensiteit bedraagt ten hoogste 40 % van de in aanmerking komende kosten. De steunintensiteit kan met 20 procentpunten worden verhoogd voor steun aan kleine ondernemingen en met 10 procentpunten voor steun aan middelgrote ondernemingen.</w:t>
      </w:r>
    </w:p>
    <w:p w14:paraId="1EAF9B2B" w14:textId="77777777" w:rsidR="002F5457" w:rsidRDefault="002F5457" w:rsidP="00192E8F">
      <w:pPr>
        <w:jc w:val="both"/>
        <w:rPr>
          <w:b/>
          <w:bCs/>
          <w:i/>
          <w:iCs/>
          <w:u w:val="single"/>
        </w:rPr>
      </w:pPr>
    </w:p>
    <w:p w14:paraId="22FD7D52" w14:textId="77777777" w:rsidR="00B803E5" w:rsidRDefault="00B803E5" w:rsidP="00192E8F">
      <w:pPr>
        <w:jc w:val="both"/>
        <w:rPr>
          <w:b/>
          <w:bCs/>
          <w:i/>
          <w:iCs/>
          <w:u w:val="single"/>
        </w:rPr>
      </w:pPr>
    </w:p>
    <w:p w14:paraId="34814382" w14:textId="77777777" w:rsidR="00192E8F" w:rsidRDefault="002F5457" w:rsidP="00192E8F">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47</w:t>
      </w:r>
      <w:r w:rsidRPr="00326FA1">
        <w:rPr>
          <w:b/>
          <w:bCs/>
          <w:i/>
          <w:iCs/>
          <w:u w:val="single"/>
        </w:rPr>
        <w:t xml:space="preserve">, lid </w:t>
      </w:r>
      <w:r>
        <w:rPr>
          <w:b/>
          <w:bCs/>
          <w:i/>
          <w:iCs/>
          <w:u w:val="single"/>
        </w:rPr>
        <w:t>9:</w:t>
      </w:r>
    </w:p>
    <w:p w14:paraId="6502E450" w14:textId="02F7C188" w:rsidR="00D61094" w:rsidRPr="00E324E8" w:rsidRDefault="00D61094" w:rsidP="00192E8F">
      <w:pPr>
        <w:jc w:val="both"/>
        <w:rPr>
          <w:i/>
          <w:iCs/>
        </w:rPr>
      </w:pPr>
      <w:r w:rsidRPr="00D61094">
        <w:rPr>
          <w:i/>
          <w:iCs/>
        </w:rPr>
        <w:t>De steunintensiteit kan worden verhoogd met 15 procentpunten voor investeringen in steungebieden die aan de voorwaarden van artikel 107, lid 3, onder a), van het Verdrag voldoen, en met 5 procentpunten voor investeringen in steungebieden die aan de voorwaarden van artikel 107, lid 3, onder c), van het Verdrag voldoen.</w:t>
      </w:r>
      <w:r w:rsidR="001B57A4">
        <w:rPr>
          <w:rStyle w:val="Voetnootmarkering"/>
          <w:i/>
          <w:iCs/>
        </w:rPr>
        <w:footnoteReference w:id="2"/>
      </w:r>
    </w:p>
    <w:p w14:paraId="08EB8B4F" w14:textId="340EC62C" w:rsidR="00E324E8" w:rsidRDefault="00E324E8" w:rsidP="00192E8F">
      <w:pPr>
        <w:jc w:val="both"/>
      </w:pPr>
    </w:p>
    <w:p w14:paraId="05130C35" w14:textId="4D4938EE" w:rsidR="00D61094" w:rsidRDefault="00D61094" w:rsidP="00192E8F">
      <w:pPr>
        <w:jc w:val="both"/>
      </w:pPr>
      <w:r w:rsidRPr="00BB0726">
        <w:rPr>
          <w:b/>
          <w:bCs/>
        </w:rPr>
        <w:t>Toelichting</w:t>
      </w:r>
      <w:r>
        <w:t xml:space="preserve">: </w:t>
      </w:r>
      <w:r w:rsidR="002F5457">
        <w:br/>
        <w:t>Aan de hand van lid 8 en 9 wordt het subsidiepercentage per deelnemende partij bepaald. Geef aan welk steunpercentage voor de verschillende projectpartners van toepassing is en waarom.</w:t>
      </w:r>
    </w:p>
    <w:p w14:paraId="26CD0B2C" w14:textId="193592AC" w:rsidR="002F5457" w:rsidRDefault="002F5457" w:rsidP="00192E8F">
      <w:pPr>
        <w:jc w:val="both"/>
      </w:pPr>
      <w:r>
        <w:rPr>
          <w:noProof/>
          <w:lang w:eastAsia="nl-NL"/>
        </w:rPr>
        <mc:AlternateContent>
          <mc:Choice Requires="wps">
            <w:drawing>
              <wp:anchor distT="45720" distB="45720" distL="114300" distR="114300" simplePos="0" relativeHeight="251665408" behindDoc="0" locked="0" layoutInCell="1" allowOverlap="1" wp14:anchorId="37488F93" wp14:editId="75B8D1FE">
                <wp:simplePos x="0" y="0"/>
                <wp:positionH relativeFrom="margin">
                  <wp:posOffset>0</wp:posOffset>
                </wp:positionH>
                <wp:positionV relativeFrom="paragraph">
                  <wp:posOffset>220345</wp:posOffset>
                </wp:positionV>
                <wp:extent cx="5405119" cy="634364"/>
                <wp:effectExtent l="0" t="0" r="24765" b="20320"/>
                <wp:wrapTopAndBottom/>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1B117174" w14:textId="1E1B06FE" w:rsidR="002F5457" w:rsidRPr="002A62AB" w:rsidRDefault="002F5457" w:rsidP="00192E8F">
                            <w:pPr>
                              <w:jc w:val="both"/>
                              <w:rPr>
                                <w:b/>
                                <w:bCs/>
                              </w:rPr>
                            </w:pPr>
                            <w:r w:rsidRPr="002A62AB">
                              <w:rPr>
                                <w:b/>
                                <w:bCs/>
                              </w:rPr>
                              <w:t xml:space="preserve">Geef hier aan </w:t>
                            </w:r>
                            <w:r>
                              <w:rPr>
                                <w:b/>
                                <w:bCs/>
                              </w:rPr>
                              <w:t xml:space="preserve">de hand van artikel 47, lid 8 en lid 9, aan welk subsidiepercentage per projectpartner wordt gehanteerd en </w:t>
                            </w:r>
                            <w:r w:rsidRPr="002A62AB">
                              <w:rPr>
                                <w:b/>
                                <w:bCs/>
                              </w:rPr>
                              <w:t>waarom:</w:t>
                            </w:r>
                          </w:p>
                          <w:p w14:paraId="073A1F40" w14:textId="77777777" w:rsidR="002F5457" w:rsidRDefault="002F5457" w:rsidP="002F5457"/>
                          <w:p w14:paraId="5BCD7EE3" w14:textId="77777777" w:rsidR="002F5457" w:rsidRDefault="002F5457" w:rsidP="002F5457"/>
                          <w:p w14:paraId="7589C3D9" w14:textId="77777777" w:rsidR="002F5457" w:rsidRDefault="002F5457" w:rsidP="002F5457"/>
                          <w:p w14:paraId="412B3F90" w14:textId="77777777" w:rsidR="002F5457" w:rsidRDefault="002F5457" w:rsidP="002F5457"/>
                          <w:p w14:paraId="33324829" w14:textId="77777777" w:rsidR="002F5457" w:rsidRDefault="002F5457" w:rsidP="002F5457"/>
                          <w:p w14:paraId="2B07265C" w14:textId="77777777" w:rsidR="002F5457" w:rsidRDefault="002F5457" w:rsidP="002F5457"/>
                          <w:p w14:paraId="4C576C9D" w14:textId="77777777" w:rsidR="002F5457" w:rsidRDefault="002F5457" w:rsidP="002F5457"/>
                          <w:p w14:paraId="50EEB107" w14:textId="77777777" w:rsidR="002F5457" w:rsidRDefault="002F5457" w:rsidP="002F5457"/>
                          <w:p w14:paraId="700A4C41" w14:textId="77777777" w:rsidR="002F5457" w:rsidRDefault="002F5457" w:rsidP="002F5457">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488F93" id="Tekstvak 4" o:spid="_x0000_s1028" type="#_x0000_t202" style="position:absolute;left:0;text-align:left;margin-left:0;margin-top:17.35pt;width:425.6pt;height:49.95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ciFQIAACY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">
                <v:textbox style="mso-fit-shape-to-text:t">
                  <w:txbxContent>
                    <w:p w14:paraId="1B117174" w14:textId="1E1B06FE" w:rsidR="002F5457" w:rsidRPr="002A62AB" w:rsidRDefault="002F5457" w:rsidP="00192E8F">
                      <w:pPr>
                        <w:jc w:val="both"/>
                        <w:rPr>
                          <w:b/>
                          <w:bCs/>
                        </w:rPr>
                      </w:pPr>
                      <w:r w:rsidRPr="002A62AB">
                        <w:rPr>
                          <w:b/>
                          <w:bCs/>
                        </w:rPr>
                        <w:t xml:space="preserve">Geef hier aan </w:t>
                      </w:r>
                      <w:r>
                        <w:rPr>
                          <w:b/>
                          <w:bCs/>
                        </w:rPr>
                        <w:t xml:space="preserve">de hand van artikel 47, lid 8 en lid 9, aan welk subsidiepercentage per projectpartner wordt gehanteerd en </w:t>
                      </w:r>
                      <w:r w:rsidRPr="002A62AB">
                        <w:rPr>
                          <w:b/>
                          <w:bCs/>
                        </w:rPr>
                        <w:t>waarom:</w:t>
                      </w:r>
                    </w:p>
                    <w:p w14:paraId="073A1F40" w14:textId="77777777" w:rsidR="002F5457" w:rsidRDefault="002F5457" w:rsidP="002F5457"/>
                    <w:p w14:paraId="5BCD7EE3" w14:textId="77777777" w:rsidR="002F5457" w:rsidRDefault="002F5457" w:rsidP="002F5457"/>
                    <w:p w14:paraId="7589C3D9" w14:textId="77777777" w:rsidR="002F5457" w:rsidRDefault="002F5457" w:rsidP="002F5457"/>
                    <w:p w14:paraId="412B3F90" w14:textId="77777777" w:rsidR="002F5457" w:rsidRDefault="002F5457" w:rsidP="002F5457"/>
                    <w:p w14:paraId="33324829" w14:textId="77777777" w:rsidR="002F5457" w:rsidRDefault="002F5457" w:rsidP="002F5457"/>
                    <w:p w14:paraId="2B07265C" w14:textId="77777777" w:rsidR="002F5457" w:rsidRDefault="002F5457" w:rsidP="002F5457"/>
                    <w:p w14:paraId="4C576C9D" w14:textId="77777777" w:rsidR="002F5457" w:rsidRDefault="002F5457" w:rsidP="002F5457"/>
                    <w:p w14:paraId="50EEB107" w14:textId="77777777" w:rsidR="002F5457" w:rsidRDefault="002F5457" w:rsidP="002F5457"/>
                    <w:p w14:paraId="700A4C41" w14:textId="77777777" w:rsidR="002F5457" w:rsidRDefault="002F5457" w:rsidP="002F5457">
                      <w:r>
                        <w:t xml:space="preserve">  </w:t>
                      </w:r>
                    </w:p>
                  </w:txbxContent>
                </v:textbox>
                <w10:wrap type="topAndBottom" anchorx="margin"/>
              </v:shape>
            </w:pict>
          </mc:Fallback>
        </mc:AlternateContent>
      </w:r>
    </w:p>
    <w:p w14:paraId="35D54766" w14:textId="7BB7217F" w:rsidR="00E324E8" w:rsidRDefault="00E324E8" w:rsidP="00192E8F">
      <w:pPr>
        <w:jc w:val="both"/>
      </w:pPr>
    </w:p>
    <w:p w14:paraId="08BCF246" w14:textId="77777777" w:rsidR="00192E8F" w:rsidRDefault="002F5457" w:rsidP="00192E8F">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47</w:t>
      </w:r>
      <w:r w:rsidRPr="00326FA1">
        <w:rPr>
          <w:b/>
          <w:bCs/>
          <w:i/>
          <w:iCs/>
          <w:u w:val="single"/>
        </w:rPr>
        <w:t xml:space="preserve">, lid </w:t>
      </w:r>
      <w:r>
        <w:rPr>
          <w:b/>
          <w:bCs/>
          <w:i/>
          <w:iCs/>
          <w:u w:val="single"/>
        </w:rPr>
        <w:t>10:</w:t>
      </w:r>
    </w:p>
    <w:p w14:paraId="366C19BC" w14:textId="438E92D9" w:rsidR="00E324E8" w:rsidRPr="00E324E8" w:rsidRDefault="000D2F4C" w:rsidP="00192E8F">
      <w:pPr>
        <w:jc w:val="both"/>
      </w:pPr>
      <w:r w:rsidRPr="000D2F4C">
        <w:t xml:space="preserve"> </w:t>
      </w:r>
      <w:r w:rsidRPr="000D2F4C">
        <w:rPr>
          <w:noProof/>
          <w:lang w:eastAsia="nl-NL"/>
        </w:rPr>
        <w:t xml:space="preserve">Op grond van dit artikel wordt geen steun toegekend voor investeringen om te voldoen aan Unienormen die zijn vastgesteld en van kracht zijn. Op grond van dit artikel kan steun worden </w:t>
      </w:r>
      <w:r w:rsidRPr="000D2F4C">
        <w:rPr>
          <w:noProof/>
          <w:lang w:eastAsia="nl-NL"/>
        </w:rPr>
        <w:lastRenderedPageBreak/>
        <w:t>toegekend voor investeringen om te voldoen aan reeds vastgestelde maar nog niet van kracht zijnde Unienormen, mits de investering ten minste 18 maanden vóór de inwerkingtreding van de norm is uitgevoerd en voltooid.</w:t>
      </w:r>
      <w:r w:rsidR="00E324E8" w:rsidRPr="002F5457">
        <w:rPr>
          <w:i/>
          <w:iCs/>
        </w:rPr>
        <w:t>.</w:t>
      </w:r>
    </w:p>
    <w:p w14:paraId="0E17F4BF" w14:textId="77777777" w:rsidR="009A281A" w:rsidRDefault="009A281A" w:rsidP="00192E8F">
      <w:pPr>
        <w:jc w:val="both"/>
      </w:pPr>
    </w:p>
    <w:p w14:paraId="0734E112" w14:textId="6FE26B31" w:rsidR="00D61094" w:rsidRDefault="009A281A" w:rsidP="00192E8F">
      <w:pPr>
        <w:jc w:val="both"/>
      </w:pPr>
      <w:r>
        <w:t>Ter kennisname, geen toelichting benodigd.</w:t>
      </w:r>
    </w:p>
    <w:p w14:paraId="2BF277C7" w14:textId="4D4F9455" w:rsidR="00007C8A" w:rsidRDefault="00007C8A" w:rsidP="00192E8F">
      <w:pPr>
        <w:jc w:val="both"/>
      </w:pPr>
    </w:p>
    <w:p w14:paraId="1BDEF48F" w14:textId="33954ED7" w:rsidR="00BB0726" w:rsidRPr="00C72E38" w:rsidRDefault="00BB0726" w:rsidP="00192E8F">
      <w:pPr>
        <w:jc w:val="both"/>
      </w:pPr>
    </w:p>
    <w:sectPr w:rsidR="00BB0726" w:rsidRPr="00C72E38" w:rsidSect="00201945">
      <w:headerReference w:type="even" r:id="rId12"/>
      <w:headerReference w:type="default" r:id="rId13"/>
      <w:footerReference w:type="even" r:id="rId14"/>
      <w:footerReference w:type="default" r:id="rId15"/>
      <w:headerReference w:type="first" r:id="rId16"/>
      <w:footerReference w:type="first" r:id="rId17"/>
      <w:pgSz w:w="11906" w:h="16838" w:code="9"/>
      <w:pgMar w:top="1418" w:right="226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3438" w14:textId="77777777" w:rsidR="00102CAF" w:rsidRDefault="00102CAF" w:rsidP="00DD409F">
      <w:pPr>
        <w:spacing w:line="240" w:lineRule="auto"/>
      </w:pPr>
      <w:r>
        <w:separator/>
      </w:r>
    </w:p>
  </w:endnote>
  <w:endnote w:type="continuationSeparator" w:id="0">
    <w:p w14:paraId="56A29F86" w14:textId="77777777" w:rsidR="00102CAF" w:rsidRDefault="00102CAF" w:rsidP="00DD4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2E7F" w14:textId="77777777" w:rsidR="00E87978" w:rsidRDefault="00E879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14479" w14:textId="78930887" w:rsidR="00471FF9" w:rsidRDefault="00471FF9" w:rsidP="00471FF9">
    <w:pPr>
      <w:pStyle w:val="Voettekst"/>
      <w:jc w:val="both"/>
      <w:rPr>
        <w:rFonts w:asciiTheme="minorHAnsi" w:hAnsiTheme="minorHAnsi" w:cstheme="minorHAnsi"/>
        <w:b/>
        <w:bCs/>
        <w:color w:val="004A99"/>
      </w:rPr>
    </w:pPr>
    <w:r>
      <w:rPr>
        <w:noProof/>
      </w:rPr>
      <w:drawing>
        <wp:anchor distT="0" distB="0" distL="114300" distR="114300" simplePos="0" relativeHeight="251659264" behindDoc="0" locked="0" layoutInCell="1" allowOverlap="1" wp14:anchorId="0118249D" wp14:editId="2493F221">
          <wp:simplePos x="0" y="0"/>
          <wp:positionH relativeFrom="column">
            <wp:posOffset>4211955</wp:posOffset>
          </wp:positionH>
          <wp:positionV relativeFrom="paragraph">
            <wp:posOffset>-44450</wp:posOffset>
          </wp:positionV>
          <wp:extent cx="2313940" cy="414020"/>
          <wp:effectExtent l="0" t="0" r="0" b="5080"/>
          <wp:wrapThrough wrapText="bothSides">
            <wp:wrapPolygon edited="0">
              <wp:start x="0" y="0"/>
              <wp:lineTo x="0" y="20871"/>
              <wp:lineTo x="5690" y="20871"/>
              <wp:lineTo x="6935" y="20871"/>
              <wp:lineTo x="16182" y="16896"/>
              <wp:lineTo x="16182" y="15902"/>
              <wp:lineTo x="19383" y="6957"/>
              <wp:lineTo x="18850" y="2982"/>
              <wp:lineTo x="5690" y="0"/>
              <wp:lineTo x="0" y="0"/>
            </wp:wrapPolygon>
          </wp:wrapThrough>
          <wp:docPr id="7" name="Afbeelding 7" descr="Europees Logo met tekst medegefinancierd door de Europese Un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Europees Logo met tekst medegefinancierd door de Europese Un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4140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004A99"/>
      </w:rPr>
      <w:t xml:space="preserve">Programma </w:t>
    </w:r>
    <w:r w:rsidR="00D731FF">
      <w:rPr>
        <w:rFonts w:asciiTheme="minorHAnsi" w:hAnsiTheme="minorHAnsi" w:cstheme="minorHAnsi"/>
        <w:b/>
        <w:bCs/>
        <w:color w:val="004A99"/>
      </w:rPr>
      <w:t>JTF</w:t>
    </w:r>
    <w:r>
      <w:rPr>
        <w:rFonts w:asciiTheme="minorHAnsi" w:hAnsiTheme="minorHAnsi" w:cstheme="minorHAnsi"/>
        <w:b/>
        <w:bCs/>
        <w:color w:val="004A99"/>
      </w:rPr>
      <w:t xml:space="preserve"> 2021-2027</w:t>
    </w:r>
  </w:p>
  <w:p w14:paraId="0944013E" w14:textId="77777777" w:rsidR="00E87978" w:rsidRPr="00471FF9" w:rsidRDefault="00E87978" w:rsidP="00471F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6230A" w14:textId="77777777" w:rsidR="00E87978" w:rsidRDefault="00E879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D8D51" w14:textId="77777777" w:rsidR="00102CAF" w:rsidRPr="00571B71" w:rsidRDefault="00D731FF" w:rsidP="00571B71">
      <w:pPr>
        <w:spacing w:line="240" w:lineRule="auto"/>
        <w:rPr>
          <w:sz w:val="14"/>
        </w:rPr>
      </w:pPr>
      <w:r>
        <w:rPr>
          <w:sz w:val="14"/>
        </w:rPr>
        <w:pict w14:anchorId="122F5AA2">
          <v:rect id="_x0000_i1025" style="width:453.6pt;height:1pt" o:hralign="center" o:hrstd="t" o:hrnoshade="t" o:hr="t" fillcolor="black [3213]" stroked="f"/>
        </w:pict>
      </w:r>
    </w:p>
  </w:footnote>
  <w:footnote w:type="continuationSeparator" w:id="0">
    <w:p w14:paraId="7347C7CD" w14:textId="77777777" w:rsidR="00102CAF" w:rsidRPr="00571B71" w:rsidRDefault="00102CAF" w:rsidP="00DD409F">
      <w:pPr>
        <w:spacing w:line="240" w:lineRule="auto"/>
        <w:rPr>
          <w:sz w:val="14"/>
        </w:rPr>
      </w:pPr>
      <w:r w:rsidRPr="00571B71">
        <w:rPr>
          <w:sz w:val="14"/>
        </w:rPr>
        <w:continuationSeparator/>
      </w:r>
    </w:p>
  </w:footnote>
  <w:footnote w:type="continuationNotice" w:id="1">
    <w:p w14:paraId="6F31F187" w14:textId="77777777" w:rsidR="00102CAF" w:rsidRPr="00571B71" w:rsidRDefault="00102CAF" w:rsidP="00AC7021">
      <w:pPr>
        <w:spacing w:line="240" w:lineRule="auto"/>
        <w:ind w:left="284" w:hanging="284"/>
        <w:rPr>
          <w:rFonts w:cs="Arial"/>
          <w:sz w:val="14"/>
          <w:szCs w:val="14"/>
        </w:rPr>
      </w:pPr>
    </w:p>
  </w:footnote>
  <w:footnote w:id="2">
    <w:p w14:paraId="75C83447" w14:textId="73101885" w:rsidR="001B57A4" w:rsidRDefault="001B57A4">
      <w:pPr>
        <w:pStyle w:val="Voetnoottekst"/>
      </w:pPr>
      <w:r>
        <w:rPr>
          <w:rStyle w:val="Voetnootmarkering"/>
        </w:rPr>
        <w:footnoteRef/>
      </w:r>
      <w:r>
        <w:t xml:space="preserve"> Zie de website van de Beheerautoriteit voor een overzichtskaart van de a- en c-steungebieden in de betreffende regio.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D2814" w14:textId="77777777" w:rsidR="00E87978" w:rsidRDefault="00E879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B8683" w14:textId="77777777" w:rsidR="00E87978" w:rsidRDefault="00E879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74D8" w14:textId="77777777" w:rsidR="00E87978" w:rsidRDefault="00E8797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Lijstnumm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4" w15:restartNumberingAfterBreak="0">
    <w:nsid w:val="1FBD5CCF"/>
    <w:multiLevelType w:val="hybridMultilevel"/>
    <w:tmpl w:val="E6DE7ED0"/>
    <w:lvl w:ilvl="0" w:tplc="9670ABD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4603041"/>
    <w:multiLevelType w:val="multilevel"/>
    <w:tmpl w:val="E95C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821DC6"/>
    <w:multiLevelType w:val="hybridMultilevel"/>
    <w:tmpl w:val="C7B4CD64"/>
    <w:lvl w:ilvl="0" w:tplc="2A96165A">
      <w:start w:val="1"/>
      <w:numFmt w:val="decimal"/>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9F664E5"/>
    <w:multiLevelType w:val="multilevel"/>
    <w:tmpl w:val="D6CC1128"/>
    <w:lvl w:ilvl="0">
      <w:start w:val="1"/>
      <w:numFmt w:val="decimal"/>
      <w:pStyle w:val="Kop1"/>
      <w:lvlText w:val="%1"/>
      <w:lvlJc w:val="left"/>
      <w:pPr>
        <w:ind w:left="851" w:hanging="851"/>
      </w:pPr>
      <w:rPr>
        <w:rFonts w:ascii="Arial" w:hAnsi="Arial" w:hint="default"/>
        <w:b w:val="0"/>
        <w:i w:val="0"/>
        <w:sz w:val="24"/>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851" w:hanging="851"/>
      </w:pPr>
      <w:rPr>
        <w:rFonts w:hint="default"/>
      </w:rPr>
    </w:lvl>
    <w:lvl w:ilvl="6">
      <w:start w:val="1"/>
      <w:numFmt w:val="decimal"/>
      <w:pStyle w:val="Kop7"/>
      <w:lvlText w:val="%1.%2.%3.%4.%5.%6.%7"/>
      <w:lvlJc w:val="left"/>
      <w:pPr>
        <w:ind w:left="851" w:hanging="851"/>
      </w:pPr>
      <w:rPr>
        <w:rFonts w:hint="default"/>
      </w:rPr>
    </w:lvl>
    <w:lvl w:ilvl="7">
      <w:start w:val="1"/>
      <w:numFmt w:val="decimal"/>
      <w:pStyle w:val="Kop8"/>
      <w:lvlText w:val="%1.%2.%3.%4.%5.%6.%7.%8"/>
      <w:lvlJc w:val="left"/>
      <w:pPr>
        <w:ind w:left="851" w:hanging="851"/>
      </w:pPr>
      <w:rPr>
        <w:rFonts w:hint="default"/>
      </w:rPr>
    </w:lvl>
    <w:lvl w:ilvl="8">
      <w:start w:val="1"/>
      <w:numFmt w:val="decimal"/>
      <w:pStyle w:val="Kop9"/>
      <w:lvlText w:val="%1.%2.%3.%4.%5.%6.%7.%8.%9"/>
      <w:lvlJc w:val="left"/>
      <w:pPr>
        <w:ind w:left="851" w:hanging="851"/>
      </w:pPr>
      <w:rPr>
        <w:rFonts w:hint="default"/>
      </w:rPr>
    </w:lvl>
  </w:abstractNum>
  <w:abstractNum w:abstractNumId="8"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3447EF"/>
    <w:multiLevelType w:val="hybridMultilevel"/>
    <w:tmpl w:val="D6ACFEF4"/>
    <w:lvl w:ilvl="0" w:tplc="B83080B8">
      <w:numFmt w:val="bullet"/>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407919D8"/>
    <w:multiLevelType w:val="hybridMultilevel"/>
    <w:tmpl w:val="5008B37E"/>
    <w:lvl w:ilvl="0" w:tplc="A23EA0C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5E557F7"/>
    <w:multiLevelType w:val="hybridMultilevel"/>
    <w:tmpl w:val="45728422"/>
    <w:lvl w:ilvl="0" w:tplc="61429CC2">
      <w:start w:val="1"/>
      <w:numFmt w:val="bullet"/>
      <w:pStyle w:val="LijstBullits"/>
      <w:lvlText w:val=""/>
      <w:lvlJc w:val="left"/>
      <w:pPr>
        <w:ind w:left="284" w:hanging="284"/>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64494103">
    <w:abstractNumId w:val="8"/>
  </w:num>
  <w:num w:numId="2" w16cid:durableId="357509455">
    <w:abstractNumId w:val="3"/>
  </w:num>
  <w:num w:numId="3" w16cid:durableId="1598829072">
    <w:abstractNumId w:val="12"/>
  </w:num>
  <w:num w:numId="4" w16cid:durableId="825439882">
    <w:abstractNumId w:val="7"/>
  </w:num>
  <w:num w:numId="5" w16cid:durableId="1174956590">
    <w:abstractNumId w:val="0"/>
  </w:num>
  <w:num w:numId="6" w16cid:durableId="1447116918">
    <w:abstractNumId w:val="11"/>
  </w:num>
  <w:num w:numId="7" w16cid:durableId="2073236072">
    <w:abstractNumId w:val="1"/>
  </w:num>
  <w:num w:numId="8" w16cid:durableId="1770196793">
    <w:abstractNumId w:val="9"/>
  </w:num>
  <w:num w:numId="9" w16cid:durableId="209652706">
    <w:abstractNumId w:val="6"/>
  </w:num>
  <w:num w:numId="10" w16cid:durableId="514462252">
    <w:abstractNumId w:val="7"/>
  </w:num>
  <w:num w:numId="11" w16cid:durableId="684788430">
    <w:abstractNumId w:val="7"/>
  </w:num>
  <w:num w:numId="12" w16cid:durableId="1279605918">
    <w:abstractNumId w:val="2"/>
  </w:num>
  <w:num w:numId="13" w16cid:durableId="783615791">
    <w:abstractNumId w:val="5"/>
  </w:num>
  <w:num w:numId="14" w16cid:durableId="1481196025">
    <w:abstractNumId w:val="10"/>
  </w:num>
  <w:num w:numId="15" w16cid:durableId="52972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284"/>
  <w:hyphenationZone w:val="425"/>
  <w:characterSpacingControl w:val="doNotCompress"/>
  <w:hdrShapeDefaults>
    <o:shapedefaults v:ext="edit" spidmax="49154"/>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AF"/>
    <w:rsid w:val="00007469"/>
    <w:rsid w:val="00007C8A"/>
    <w:rsid w:val="00021666"/>
    <w:rsid w:val="00054E66"/>
    <w:rsid w:val="00072673"/>
    <w:rsid w:val="000D1C37"/>
    <w:rsid w:val="000D2F4C"/>
    <w:rsid w:val="000D3E45"/>
    <w:rsid w:val="000F3550"/>
    <w:rsid w:val="00102CAF"/>
    <w:rsid w:val="00102D36"/>
    <w:rsid w:val="00110A65"/>
    <w:rsid w:val="001248A8"/>
    <w:rsid w:val="00136F72"/>
    <w:rsid w:val="00192E8F"/>
    <w:rsid w:val="001955D0"/>
    <w:rsid w:val="00197612"/>
    <w:rsid w:val="001B57A4"/>
    <w:rsid w:val="001B5BF7"/>
    <w:rsid w:val="001C405B"/>
    <w:rsid w:val="001C517A"/>
    <w:rsid w:val="001D03DE"/>
    <w:rsid w:val="00201945"/>
    <w:rsid w:val="00211907"/>
    <w:rsid w:val="00267E3F"/>
    <w:rsid w:val="0028560D"/>
    <w:rsid w:val="002A40B7"/>
    <w:rsid w:val="002D7EE3"/>
    <w:rsid w:val="002F5457"/>
    <w:rsid w:val="0030274E"/>
    <w:rsid w:val="00324A63"/>
    <w:rsid w:val="003408E8"/>
    <w:rsid w:val="00360D99"/>
    <w:rsid w:val="0036762E"/>
    <w:rsid w:val="003812AF"/>
    <w:rsid w:val="003849F9"/>
    <w:rsid w:val="003950D3"/>
    <w:rsid w:val="003B1041"/>
    <w:rsid w:val="003D6486"/>
    <w:rsid w:val="003E74C0"/>
    <w:rsid w:val="00406012"/>
    <w:rsid w:val="004138C8"/>
    <w:rsid w:val="0042793D"/>
    <w:rsid w:val="00447DEC"/>
    <w:rsid w:val="00452EBF"/>
    <w:rsid w:val="00454CF1"/>
    <w:rsid w:val="004622C9"/>
    <w:rsid w:val="00465D20"/>
    <w:rsid w:val="00471FF9"/>
    <w:rsid w:val="004C76F8"/>
    <w:rsid w:val="004D55F1"/>
    <w:rsid w:val="004D7111"/>
    <w:rsid w:val="004E0238"/>
    <w:rsid w:val="00524790"/>
    <w:rsid w:val="005471E0"/>
    <w:rsid w:val="00571B15"/>
    <w:rsid w:val="00571B71"/>
    <w:rsid w:val="005831C5"/>
    <w:rsid w:val="005E6B57"/>
    <w:rsid w:val="005F161A"/>
    <w:rsid w:val="005F34FE"/>
    <w:rsid w:val="005F60F6"/>
    <w:rsid w:val="00621815"/>
    <w:rsid w:val="00627D64"/>
    <w:rsid w:val="00630F0B"/>
    <w:rsid w:val="006571CE"/>
    <w:rsid w:val="00685E27"/>
    <w:rsid w:val="006A53D1"/>
    <w:rsid w:val="006D3559"/>
    <w:rsid w:val="006E6FF1"/>
    <w:rsid w:val="006F05CC"/>
    <w:rsid w:val="006F631B"/>
    <w:rsid w:val="007045B8"/>
    <w:rsid w:val="0075030E"/>
    <w:rsid w:val="007536C4"/>
    <w:rsid w:val="007840F7"/>
    <w:rsid w:val="007F5D2B"/>
    <w:rsid w:val="00822991"/>
    <w:rsid w:val="00834F47"/>
    <w:rsid w:val="008418FE"/>
    <w:rsid w:val="00881667"/>
    <w:rsid w:val="008858B5"/>
    <w:rsid w:val="00893CDE"/>
    <w:rsid w:val="008C4B99"/>
    <w:rsid w:val="00907AC3"/>
    <w:rsid w:val="00912F32"/>
    <w:rsid w:val="009226F1"/>
    <w:rsid w:val="009244BD"/>
    <w:rsid w:val="00925438"/>
    <w:rsid w:val="00936554"/>
    <w:rsid w:val="00937C5B"/>
    <w:rsid w:val="009436D9"/>
    <w:rsid w:val="00994628"/>
    <w:rsid w:val="00995CA7"/>
    <w:rsid w:val="00996F85"/>
    <w:rsid w:val="009A281A"/>
    <w:rsid w:val="009D5089"/>
    <w:rsid w:val="00A01C22"/>
    <w:rsid w:val="00A11840"/>
    <w:rsid w:val="00A30351"/>
    <w:rsid w:val="00A50BB8"/>
    <w:rsid w:val="00A76A29"/>
    <w:rsid w:val="00AC7021"/>
    <w:rsid w:val="00AF6D7F"/>
    <w:rsid w:val="00B04835"/>
    <w:rsid w:val="00B11F1C"/>
    <w:rsid w:val="00B216D8"/>
    <w:rsid w:val="00B51362"/>
    <w:rsid w:val="00B64D3D"/>
    <w:rsid w:val="00B668FC"/>
    <w:rsid w:val="00B803E5"/>
    <w:rsid w:val="00B83C70"/>
    <w:rsid w:val="00B97ED2"/>
    <w:rsid w:val="00BA3684"/>
    <w:rsid w:val="00BB0726"/>
    <w:rsid w:val="00BB6462"/>
    <w:rsid w:val="00BD25F4"/>
    <w:rsid w:val="00C344BC"/>
    <w:rsid w:val="00C72E38"/>
    <w:rsid w:val="00C80912"/>
    <w:rsid w:val="00C93E9E"/>
    <w:rsid w:val="00CD1E0D"/>
    <w:rsid w:val="00CF1750"/>
    <w:rsid w:val="00D1255B"/>
    <w:rsid w:val="00D548EE"/>
    <w:rsid w:val="00D61094"/>
    <w:rsid w:val="00D7141E"/>
    <w:rsid w:val="00D731FF"/>
    <w:rsid w:val="00D842D8"/>
    <w:rsid w:val="00D95557"/>
    <w:rsid w:val="00DA27F6"/>
    <w:rsid w:val="00DA6C3D"/>
    <w:rsid w:val="00DB5269"/>
    <w:rsid w:val="00DD409F"/>
    <w:rsid w:val="00E005DA"/>
    <w:rsid w:val="00E01953"/>
    <w:rsid w:val="00E324E8"/>
    <w:rsid w:val="00E43808"/>
    <w:rsid w:val="00E7133A"/>
    <w:rsid w:val="00E7563F"/>
    <w:rsid w:val="00E87978"/>
    <w:rsid w:val="00EB7113"/>
    <w:rsid w:val="00EC2A89"/>
    <w:rsid w:val="00EE515E"/>
    <w:rsid w:val="00EF4900"/>
    <w:rsid w:val="00F00090"/>
    <w:rsid w:val="00F13C3C"/>
    <w:rsid w:val="00F23A27"/>
    <w:rsid w:val="00F44188"/>
    <w:rsid w:val="00F5399E"/>
    <w:rsid w:val="00F55147"/>
    <w:rsid w:val="00F600BE"/>
    <w:rsid w:val="00F953EF"/>
    <w:rsid w:val="00FA3B14"/>
    <w:rsid w:val="00FA4F00"/>
    <w:rsid w:val="00FB0384"/>
    <w:rsid w:val="00FB3AB1"/>
    <w:rsid w:val="00FB42F5"/>
    <w:rsid w:val="00FD3202"/>
    <w:rsid w:val="00FE7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14:docId w14:val="58F310CA"/>
  <w15:chartTrackingRefBased/>
  <w15:docId w15:val="{DD59A4BF-3CAB-4448-99F0-93B2E598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PG Normaal (standaard)"/>
    <w:qFormat/>
    <w:rsid w:val="004C76F8"/>
    <w:pPr>
      <w:spacing w:line="280" w:lineRule="exact"/>
      <w:ind w:left="0" w:firstLine="0"/>
    </w:pPr>
  </w:style>
  <w:style w:type="paragraph" w:styleId="Kop1">
    <w:name w:val="heading 1"/>
    <w:aliases w:val="Kop 1 +nr Hoofdstuk genummerd"/>
    <w:next w:val="Standaard"/>
    <w:link w:val="Kop1Char"/>
    <w:autoRedefine/>
    <w:uiPriority w:val="9"/>
    <w:qFormat/>
    <w:rsid w:val="00EF4900"/>
    <w:pPr>
      <w:keepNext/>
      <w:keepLines/>
      <w:numPr>
        <w:numId w:val="4"/>
      </w:numPr>
      <w:tabs>
        <w:tab w:val="left" w:pos="851"/>
      </w:tabs>
      <w:outlineLvl w:val="0"/>
    </w:pPr>
    <w:rPr>
      <w:rFonts w:eastAsiaTheme="majorEastAsia" w:cstheme="majorBidi"/>
      <w:sz w:val="24"/>
      <w:szCs w:val="32"/>
    </w:rPr>
  </w:style>
  <w:style w:type="paragraph" w:styleId="Kop2">
    <w:name w:val="heading 2"/>
    <w:aliases w:val="Kop 2+nr Paragraafkop genummerd"/>
    <w:basedOn w:val="Kop1"/>
    <w:next w:val="Standaard"/>
    <w:link w:val="Kop2Char"/>
    <w:uiPriority w:val="9"/>
    <w:unhideWhenUsed/>
    <w:qFormat/>
    <w:rsid w:val="009226F1"/>
    <w:pPr>
      <w:numPr>
        <w:ilvl w:val="1"/>
      </w:numPr>
      <w:outlineLvl w:val="1"/>
    </w:pPr>
    <w:rPr>
      <w:b/>
      <w:sz w:val="20"/>
      <w:szCs w:val="26"/>
    </w:rPr>
  </w:style>
  <w:style w:type="paragraph" w:styleId="Kop3">
    <w:name w:val="heading 3"/>
    <w:aliases w:val="Kop 3+nr Subparagraafkop genummerd"/>
    <w:basedOn w:val="Kop2"/>
    <w:next w:val="Standaard"/>
    <w:link w:val="Kop3Char"/>
    <w:uiPriority w:val="9"/>
    <w:unhideWhenUsed/>
    <w:qFormat/>
    <w:rsid w:val="006D3559"/>
    <w:pPr>
      <w:numPr>
        <w:ilvl w:val="2"/>
      </w:numPr>
      <w:contextualSpacing/>
      <w:outlineLvl w:val="2"/>
    </w:pPr>
    <w:rPr>
      <w:b w:val="0"/>
      <w:szCs w:val="24"/>
    </w:rPr>
  </w:style>
  <w:style w:type="paragraph" w:styleId="Kop4">
    <w:name w:val="heading 4"/>
    <w:aliases w:val="Kop 4 Tussenkop"/>
    <w:basedOn w:val="Standaard"/>
    <w:next w:val="Standaard"/>
    <w:link w:val="Kop4Char"/>
    <w:uiPriority w:val="9"/>
    <w:unhideWhenUsed/>
    <w:qFormat/>
    <w:rsid w:val="001C517A"/>
    <w:pPr>
      <w:keepNext/>
      <w:keepLines/>
      <w:outlineLvl w:val="3"/>
    </w:pPr>
    <w:rPr>
      <w:rFonts w:eastAsiaTheme="majorEastAsia" w:cstheme="majorBidi"/>
      <w:b/>
      <w:iCs/>
      <w:sz w:val="18"/>
    </w:rPr>
  </w:style>
  <w:style w:type="paragraph" w:styleId="Kop5">
    <w:name w:val="heading 5"/>
    <w:basedOn w:val="Standaard"/>
    <w:next w:val="Standaard"/>
    <w:link w:val="Kop5Char"/>
    <w:uiPriority w:val="9"/>
    <w:semiHidden/>
    <w:unhideWhenUsed/>
    <w:rsid w:val="000D3E45"/>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nr Hoofdstuk genummerd Char"/>
    <w:basedOn w:val="Standaardalinea-lettertype"/>
    <w:link w:val="Kop1"/>
    <w:uiPriority w:val="9"/>
    <w:rsid w:val="00EF4900"/>
    <w:rPr>
      <w:rFonts w:ascii="Arial" w:eastAsiaTheme="majorEastAsia" w:hAnsi="Arial" w:cstheme="majorBidi"/>
      <w:sz w:val="24"/>
      <w:szCs w:val="32"/>
    </w:rPr>
  </w:style>
  <w:style w:type="paragraph" w:customStyle="1" w:styleId="Tabelbijschriftafbeeldingbijschrift">
    <w:name w:val="Tabelbijschrift+afbeeldingbijschrift"/>
    <w:basedOn w:val="Standaard"/>
    <w:link w:val="TabelbijschriftafbeeldingbijschriftChar"/>
    <w:qFormat/>
    <w:rsid w:val="00021666"/>
    <w:rPr>
      <w:sz w:val="16"/>
    </w:rPr>
  </w:style>
  <w:style w:type="character" w:customStyle="1" w:styleId="Kop2Char">
    <w:name w:val="Kop 2 Char"/>
    <w:aliases w:val="Kop 2+nr Paragraafkop genummerd Char"/>
    <w:basedOn w:val="Standaardalinea-lettertype"/>
    <w:link w:val="Kop2"/>
    <w:uiPriority w:val="9"/>
    <w:rsid w:val="009226F1"/>
    <w:rPr>
      <w:rFonts w:ascii="Arial" w:eastAsiaTheme="majorEastAsia" w:hAnsi="Arial" w:cstheme="majorBidi"/>
      <w:b/>
      <w:sz w:val="20"/>
      <w:szCs w:val="26"/>
    </w:rPr>
  </w:style>
  <w:style w:type="character" w:customStyle="1" w:styleId="Kop3Char">
    <w:name w:val="Kop 3 Char"/>
    <w:aliases w:val="Kop 3+nr Subparagraafkop genummerd Char"/>
    <w:basedOn w:val="Standaardalinea-lettertype"/>
    <w:link w:val="Kop3"/>
    <w:uiPriority w:val="9"/>
    <w:rsid w:val="006D3559"/>
    <w:rPr>
      <w:rFonts w:ascii="Arial" w:eastAsiaTheme="majorEastAsia" w:hAnsi="Arial" w:cstheme="majorBidi"/>
      <w:sz w:val="20"/>
      <w:szCs w:val="24"/>
    </w:rPr>
  </w:style>
  <w:style w:type="paragraph" w:customStyle="1" w:styleId="LijstBullits">
    <w:name w:val="Lijst Bullits"/>
    <w:basedOn w:val="Standaard"/>
    <w:link w:val="LijstBullitsChar"/>
    <w:qFormat/>
    <w:rsid w:val="001955D0"/>
    <w:pPr>
      <w:numPr>
        <w:numId w:val="6"/>
      </w:numPr>
      <w:contextualSpacing/>
    </w:pPr>
  </w:style>
  <w:style w:type="paragraph" w:customStyle="1" w:styleId="Lijstnummers">
    <w:name w:val="Lijst nummers"/>
    <w:basedOn w:val="Standaard"/>
    <w:link w:val="LijstnummersChar"/>
    <w:qFormat/>
    <w:rsid w:val="00571B15"/>
    <w:pPr>
      <w:numPr>
        <w:numId w:val="7"/>
      </w:numPr>
      <w:contextualSpacing/>
    </w:pPr>
  </w:style>
  <w:style w:type="character" w:customStyle="1" w:styleId="TabelbijschriftafbeeldingbijschriftChar">
    <w:name w:val="Tabelbijschrift+afbeeldingbijschrift Char"/>
    <w:basedOn w:val="Standaardalinea-lettertype"/>
    <w:link w:val="Tabelbijschriftafbeeldingbijschrift"/>
    <w:rsid w:val="00021666"/>
    <w:rPr>
      <w:rFonts w:ascii="Arial" w:hAnsi="Arial"/>
      <w:sz w:val="16"/>
    </w:rPr>
  </w:style>
  <w:style w:type="character" w:customStyle="1" w:styleId="LijstBullitsChar">
    <w:name w:val="Lijst Bullits Char"/>
    <w:basedOn w:val="Standaardalinea-lettertype"/>
    <w:link w:val="LijstBullits"/>
    <w:rsid w:val="001955D0"/>
    <w:rPr>
      <w:rFonts w:ascii="Georgia" w:hAnsi="Georgia"/>
      <w:sz w:val="19"/>
    </w:rPr>
  </w:style>
  <w:style w:type="character" w:customStyle="1" w:styleId="LijstnummersChar">
    <w:name w:val="Lijst nummers Char"/>
    <w:basedOn w:val="Standaardalinea-lettertype"/>
    <w:link w:val="Lijstnummers"/>
    <w:rsid w:val="00571B15"/>
    <w:rPr>
      <w:rFonts w:ascii="Georgia" w:hAnsi="Georgia"/>
      <w:sz w:val="19"/>
    </w:rPr>
  </w:style>
  <w:style w:type="character" w:customStyle="1" w:styleId="Kop4Char">
    <w:name w:val="Kop 4 Char"/>
    <w:aliases w:val="Kop 4 Tussenkop Char"/>
    <w:basedOn w:val="Standaardalinea-lettertype"/>
    <w:link w:val="Kop4"/>
    <w:uiPriority w:val="9"/>
    <w:rsid w:val="001C517A"/>
    <w:rPr>
      <w:rFonts w:ascii="Arial" w:eastAsiaTheme="majorEastAsia" w:hAnsi="Arial" w:cstheme="majorBidi"/>
      <w:b/>
      <w:iCs/>
      <w:sz w:val="18"/>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uiPriority w:val="99"/>
    <w:unhideWhenUsed/>
    <w:rsid w:val="002A40B7"/>
    <w:pPr>
      <w:tabs>
        <w:tab w:val="left" w:pos="284"/>
      </w:tabs>
      <w:spacing w:line="240" w:lineRule="auto"/>
    </w:pPr>
    <w:rPr>
      <w:sz w:val="14"/>
      <w:szCs w:val="20"/>
    </w:rPr>
  </w:style>
  <w:style w:type="character" w:customStyle="1" w:styleId="VoetnoottekstChar">
    <w:name w:val="Voetnoottekst Char"/>
    <w:basedOn w:val="Standaardalinea-lettertype"/>
    <w:link w:val="Voetnoottekst"/>
    <w:uiPriority w:val="99"/>
    <w:rsid w:val="002A40B7"/>
    <w:rPr>
      <w:rFonts w:ascii="Arial" w:hAnsi="Arial"/>
      <w:sz w:val="14"/>
      <w:szCs w:val="20"/>
    </w:rPr>
  </w:style>
  <w:style w:type="character" w:styleId="Voetnootmarkering">
    <w:name w:val="footnote reference"/>
    <w:basedOn w:val="Standaardalinea-lettertype"/>
    <w:uiPriority w:val="99"/>
    <w:semiHidden/>
    <w:unhideWhenUsed/>
    <w:rsid w:val="00685E27"/>
    <w:rPr>
      <w:rFonts w:ascii="Arial" w:hAnsi="Arial"/>
      <w:sz w:val="14"/>
      <w:vertAlign w:val="superscript"/>
    </w:rPr>
  </w:style>
  <w:style w:type="paragraph" w:styleId="Voettekst">
    <w:name w:val="footer"/>
    <w:basedOn w:val="Standaard"/>
    <w:link w:val="VoettekstChar"/>
    <w:uiPriority w:val="99"/>
    <w:unhideWhenUsed/>
    <w:rsid w:val="00AF6D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6D7F"/>
    <w:rPr>
      <w:rFonts w:ascii="Georgia" w:hAnsi="Georgia"/>
      <w:sz w:val="19"/>
    </w:rPr>
  </w:style>
  <w:style w:type="paragraph" w:styleId="Ballontekst">
    <w:name w:val="Balloon Text"/>
    <w:basedOn w:val="Standaard"/>
    <w:link w:val="BallontekstChar"/>
    <w:uiPriority w:val="99"/>
    <w:semiHidden/>
    <w:unhideWhenUsed/>
    <w:rsid w:val="00AF6D7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6D7F"/>
    <w:rPr>
      <w:rFonts w:ascii="Segoe UI" w:hAnsi="Segoe UI" w:cs="Segoe UI"/>
      <w:sz w:val="18"/>
      <w:szCs w:val="18"/>
    </w:rPr>
  </w:style>
  <w:style w:type="paragraph" w:styleId="Normaalweb">
    <w:name w:val="Normal (Web)"/>
    <w:basedOn w:val="Standaard"/>
    <w:uiPriority w:val="99"/>
    <w:semiHidden/>
    <w:unhideWhenUsed/>
    <w:rsid w:val="00197612"/>
    <w:pPr>
      <w:spacing w:before="100" w:beforeAutospacing="1" w:after="100" w:afterAutospacing="1" w:line="240" w:lineRule="auto"/>
    </w:pPr>
    <w:rPr>
      <w:rFonts w:ascii="Times New Roman" w:eastAsia="Times New Roman" w:hAnsi="Times New Roman" w:cs="Times New Roman"/>
      <w:sz w:val="34"/>
      <w:szCs w:val="34"/>
      <w:lang w:eastAsia="nl-NL"/>
    </w:rPr>
  </w:style>
  <w:style w:type="paragraph" w:styleId="Lijstalinea">
    <w:name w:val="List Paragraph"/>
    <w:basedOn w:val="Standaard"/>
    <w:uiPriority w:val="34"/>
    <w:rsid w:val="00FA3B14"/>
    <w:pPr>
      <w:ind w:left="720"/>
      <w:contextualSpacing/>
    </w:pPr>
  </w:style>
  <w:style w:type="character" w:styleId="Verwijzingopmerking">
    <w:name w:val="annotation reference"/>
    <w:basedOn w:val="Standaardalinea-lettertype"/>
    <w:uiPriority w:val="99"/>
    <w:semiHidden/>
    <w:unhideWhenUsed/>
    <w:rsid w:val="00F00090"/>
    <w:rPr>
      <w:sz w:val="16"/>
      <w:szCs w:val="16"/>
    </w:rPr>
  </w:style>
  <w:style w:type="paragraph" w:styleId="Tekstopmerking">
    <w:name w:val="annotation text"/>
    <w:basedOn w:val="Standaard"/>
    <w:link w:val="TekstopmerkingChar"/>
    <w:uiPriority w:val="99"/>
    <w:semiHidden/>
    <w:unhideWhenUsed/>
    <w:rsid w:val="00F00090"/>
    <w:pPr>
      <w:spacing w:line="240" w:lineRule="auto"/>
    </w:pPr>
    <w:rPr>
      <w:szCs w:val="20"/>
    </w:rPr>
  </w:style>
  <w:style w:type="character" w:customStyle="1" w:styleId="TekstopmerkingChar">
    <w:name w:val="Tekst opmerking Char"/>
    <w:basedOn w:val="Standaardalinea-lettertype"/>
    <w:link w:val="Tekstopmerking"/>
    <w:uiPriority w:val="99"/>
    <w:semiHidden/>
    <w:rsid w:val="00F00090"/>
    <w:rPr>
      <w:szCs w:val="20"/>
    </w:rPr>
  </w:style>
  <w:style w:type="paragraph" w:styleId="Onderwerpvanopmerking">
    <w:name w:val="annotation subject"/>
    <w:basedOn w:val="Tekstopmerking"/>
    <w:next w:val="Tekstopmerking"/>
    <w:link w:val="OnderwerpvanopmerkingChar"/>
    <w:uiPriority w:val="99"/>
    <w:semiHidden/>
    <w:unhideWhenUsed/>
    <w:rsid w:val="00F00090"/>
    <w:rPr>
      <w:b/>
      <w:bCs/>
    </w:rPr>
  </w:style>
  <w:style w:type="character" w:customStyle="1" w:styleId="OnderwerpvanopmerkingChar">
    <w:name w:val="Onderwerp van opmerking Char"/>
    <w:basedOn w:val="TekstopmerkingChar"/>
    <w:link w:val="Onderwerpvanopmerking"/>
    <w:uiPriority w:val="99"/>
    <w:semiHidden/>
    <w:rsid w:val="00F00090"/>
    <w:rPr>
      <w:b/>
      <w:bCs/>
      <w:szCs w:val="20"/>
    </w:rPr>
  </w:style>
  <w:style w:type="paragraph" w:styleId="Revisie">
    <w:name w:val="Revision"/>
    <w:hidden/>
    <w:uiPriority w:val="99"/>
    <w:semiHidden/>
    <w:rsid w:val="00937C5B"/>
    <w:pPr>
      <w:spacing w:line="240" w:lineRule="auto"/>
      <w:ind w:left="0" w:firstLine="0"/>
    </w:pPr>
  </w:style>
  <w:style w:type="character" w:styleId="Hyperlink">
    <w:name w:val="Hyperlink"/>
    <w:basedOn w:val="Standaardalinea-lettertype"/>
    <w:uiPriority w:val="99"/>
    <w:unhideWhenUsed/>
    <w:rsid w:val="00360D99"/>
    <w:rPr>
      <w:color w:val="0000FF"/>
      <w:u w:val="single"/>
    </w:rPr>
  </w:style>
  <w:style w:type="paragraph" w:styleId="Koptekst">
    <w:name w:val="header"/>
    <w:basedOn w:val="Standaard"/>
    <w:link w:val="KoptekstChar"/>
    <w:uiPriority w:val="99"/>
    <w:unhideWhenUsed/>
    <w:rsid w:val="00E8797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87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058092">
      <w:bodyDiv w:val="1"/>
      <w:marLeft w:val="0"/>
      <w:marRight w:val="0"/>
      <w:marTop w:val="0"/>
      <w:marBottom w:val="0"/>
      <w:divBdr>
        <w:top w:val="none" w:sz="0" w:space="0" w:color="auto"/>
        <w:left w:val="none" w:sz="0" w:space="0" w:color="auto"/>
        <w:bottom w:val="none" w:sz="0" w:space="0" w:color="auto"/>
        <w:right w:val="none" w:sz="0" w:space="0" w:color="auto"/>
      </w:divBdr>
    </w:div>
    <w:div w:id="1995598848">
      <w:bodyDiv w:val="1"/>
      <w:marLeft w:val="0"/>
      <w:marRight w:val="0"/>
      <w:marTop w:val="0"/>
      <w:marBottom w:val="0"/>
      <w:divBdr>
        <w:top w:val="none" w:sz="0" w:space="0" w:color="auto"/>
        <w:left w:val="none" w:sz="0" w:space="0" w:color="auto"/>
        <w:bottom w:val="none" w:sz="0" w:space="0" w:color="auto"/>
        <w:right w:val="none" w:sz="0" w:space="0" w:color="auto"/>
      </w:divBdr>
    </w:div>
    <w:div w:id="2011635413">
      <w:bodyDiv w:val="1"/>
      <w:marLeft w:val="0"/>
      <w:marRight w:val="0"/>
      <w:marTop w:val="0"/>
      <w:marBottom w:val="0"/>
      <w:divBdr>
        <w:top w:val="none" w:sz="0" w:space="0" w:color="auto"/>
        <w:left w:val="none" w:sz="0" w:space="0" w:color="auto"/>
        <w:bottom w:val="none" w:sz="0" w:space="0" w:color="auto"/>
        <w:right w:val="none" w:sz="0" w:space="0" w:color="auto"/>
      </w:divBdr>
      <w:divsChild>
        <w:div w:id="831916052">
          <w:marLeft w:val="0"/>
          <w:marRight w:val="0"/>
          <w:marTop w:val="0"/>
          <w:marBottom w:val="0"/>
          <w:divBdr>
            <w:top w:val="none" w:sz="0" w:space="0" w:color="auto"/>
            <w:left w:val="none" w:sz="0" w:space="0" w:color="auto"/>
            <w:bottom w:val="none" w:sz="0" w:space="0" w:color="auto"/>
            <w:right w:val="none" w:sz="0" w:space="0" w:color="auto"/>
          </w:divBdr>
          <w:divsChild>
            <w:div w:id="1959604352">
              <w:marLeft w:val="0"/>
              <w:marRight w:val="0"/>
              <w:marTop w:val="0"/>
              <w:marBottom w:val="450"/>
              <w:divBdr>
                <w:top w:val="none" w:sz="0" w:space="0" w:color="auto"/>
                <w:left w:val="none" w:sz="0" w:space="0" w:color="auto"/>
                <w:bottom w:val="none" w:sz="0" w:space="0" w:color="auto"/>
                <w:right w:val="none" w:sz="0" w:space="0" w:color="auto"/>
              </w:divBdr>
              <w:divsChild>
                <w:div w:id="726225729">
                  <w:marLeft w:val="0"/>
                  <w:marRight w:val="0"/>
                  <w:marTop w:val="0"/>
                  <w:marBottom w:val="0"/>
                  <w:divBdr>
                    <w:top w:val="none" w:sz="0" w:space="0" w:color="auto"/>
                    <w:left w:val="none" w:sz="0" w:space="0" w:color="auto"/>
                    <w:bottom w:val="none" w:sz="0" w:space="0" w:color="auto"/>
                    <w:right w:val="none" w:sz="0" w:space="0" w:color="auto"/>
                  </w:divBdr>
                  <w:divsChild>
                    <w:div w:id="1373922355">
                      <w:marLeft w:val="0"/>
                      <w:marRight w:val="0"/>
                      <w:marTop w:val="0"/>
                      <w:marBottom w:val="0"/>
                      <w:divBdr>
                        <w:top w:val="none" w:sz="0" w:space="0" w:color="auto"/>
                        <w:left w:val="none" w:sz="0" w:space="0" w:color="auto"/>
                        <w:bottom w:val="none" w:sz="0" w:space="0" w:color="auto"/>
                        <w:right w:val="none" w:sz="0" w:space="0" w:color="auto"/>
                      </w:divBdr>
                      <w:divsChild>
                        <w:div w:id="16951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NL/TXT/PDF/?uri=CELEX:32014R0651&amp;from=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0D56284B09D046B46D88F2B24AA64A" ma:contentTypeVersion="14" ma:contentTypeDescription="Een nieuw document maken." ma:contentTypeScope="" ma:versionID="fe98e8c221f35a196cfc3d3864f3ca24">
  <xsd:schema xmlns:xsd="http://www.w3.org/2001/XMLSchema" xmlns:xs="http://www.w3.org/2001/XMLSchema" xmlns:p="http://schemas.microsoft.com/office/2006/metadata/properties" xmlns:ns2="3ddcb2a4-cf8d-4370-96a7-ea7733aac473" xmlns:ns3="3b425e72-3b13-4f1f-a35b-bdc466a72742" xmlns:ns4="53488529-b61a-446c-bc3c-940c1e2fbf47" targetNamespace="http://schemas.microsoft.com/office/2006/metadata/properties" ma:root="true" ma:fieldsID="45cc86d6ce0f88e0bf872331cb71b18e" ns2:_="" ns3:_="" ns4:_="">
    <xsd:import namespace="3ddcb2a4-cf8d-4370-96a7-ea7733aac473"/>
    <xsd:import namespace="3b425e72-3b13-4f1f-a35b-bdc466a72742"/>
    <xsd:import namespace="53488529-b61a-446c-bc3c-940c1e2fb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cb2a4-cf8d-4370-96a7-ea7733aac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2029dec-8b0d-4d68-80c4-6be424f3e98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425e72-3b13-4f1f-a35b-bdc466a727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dcb2a4-cf8d-4370-96a7-ea7733aac473">
      <Terms xmlns="http://schemas.microsoft.com/office/infopath/2007/PartnerControls"/>
    </lcf76f155ced4ddcb4097134ff3c332f>
    <TaxCatchAll xmlns="53488529-b61a-446c-bc3c-940c1e2fbf47" xsi:nil="true"/>
  </documentManagement>
</p:properties>
</file>

<file path=customXml/itemProps1.xml><?xml version="1.0" encoding="utf-8"?>
<ds:datastoreItem xmlns:ds="http://schemas.openxmlformats.org/officeDocument/2006/customXml" ds:itemID="{CF677CAE-B64A-4199-97C6-CE2E230722FE}">
  <ds:schemaRefs>
    <ds:schemaRef ds:uri="http://schemas.openxmlformats.org/officeDocument/2006/bibliography"/>
  </ds:schemaRefs>
</ds:datastoreItem>
</file>

<file path=customXml/itemProps2.xml><?xml version="1.0" encoding="utf-8"?>
<ds:datastoreItem xmlns:ds="http://schemas.openxmlformats.org/officeDocument/2006/customXml" ds:itemID="{3A4B3B12-1956-467C-BFCA-14DD64039FF7}"/>
</file>

<file path=customXml/itemProps3.xml><?xml version="1.0" encoding="utf-8"?>
<ds:datastoreItem xmlns:ds="http://schemas.openxmlformats.org/officeDocument/2006/customXml" ds:itemID="{3C0BE379-6FA9-4650-96B5-00FA300AC093}">
  <ds:schemaRefs>
    <ds:schemaRef ds:uri="http://schemas.microsoft.com/sharepoint/v3/contenttype/forms"/>
  </ds:schemaRefs>
</ds:datastoreItem>
</file>

<file path=customXml/itemProps4.xml><?xml version="1.0" encoding="utf-8"?>
<ds:datastoreItem xmlns:ds="http://schemas.openxmlformats.org/officeDocument/2006/customXml" ds:itemID="{556CF93B-E4D0-45BE-823A-F2F4EFB83AAD}">
  <ds:schemaRefs>
    <ds:schemaRef ds:uri="http://schemas.microsoft.com/office/2006/metadata/properties"/>
    <ds:schemaRef ds:uri="http://schemas.microsoft.com/office/infopath/2007/PartnerControls"/>
    <ds:schemaRef ds:uri="3251086a-4173-45aa-a638-81eb6a300a7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1219</Words>
  <Characters>6705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Gouw, Roeland</dc:creator>
  <cp:keywords/>
  <dc:description/>
  <cp:lastModifiedBy>Ingmar Voorhaar</cp:lastModifiedBy>
  <cp:revision>3</cp:revision>
  <cp:lastPrinted>2019-11-18T13:40:00Z</cp:lastPrinted>
  <dcterms:created xsi:type="dcterms:W3CDTF">2023-10-03T10:50:00Z</dcterms:created>
  <dcterms:modified xsi:type="dcterms:W3CDTF">2023-10-18T07:39:00Z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0x0101002D0D56284B09D046B46D88F2B24AA64A</vt:lpwstr>
  </property>
</Properties>
</file>