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F80" w14:textId="6851341C" w:rsidR="00B44BD4" w:rsidRPr="005B6D21" w:rsidRDefault="005B6D21" w:rsidP="005B6D21">
      <w:pPr>
        <w:rPr>
          <w:rFonts w:ascii="Cocogoose Pro" w:hAnsi="Cocogoose Pro"/>
          <w:i/>
          <w:iCs/>
          <w:sz w:val="24"/>
          <w:szCs w:val="24"/>
        </w:rPr>
      </w:pPr>
      <w:r w:rsidRPr="005B6D21">
        <w:rPr>
          <w:rFonts w:ascii="Cocogoose Pro" w:hAnsi="Cocogoose Pro"/>
          <w:i/>
          <w:iCs/>
          <w:sz w:val="24"/>
          <w:szCs w:val="24"/>
        </w:rPr>
        <w:t>INFORMATIE KOSTENSOORTEN 2021-2027</w:t>
      </w:r>
    </w:p>
    <w:p w14:paraId="6A16F930" w14:textId="6AD82BED" w:rsidR="00775D46" w:rsidRPr="008D0934" w:rsidRDefault="004E1389" w:rsidP="008B7B5A">
      <w:pPr>
        <w:pStyle w:val="Geenafstand"/>
        <w:jc w:val="both"/>
        <w:rPr>
          <w:sz w:val="20"/>
          <w:szCs w:val="20"/>
        </w:rPr>
      </w:pPr>
      <w:r w:rsidRPr="008D0934">
        <w:rPr>
          <w:sz w:val="20"/>
          <w:szCs w:val="20"/>
        </w:rPr>
        <w:t>Voor de programmaperiode 2021-2027 zijn</w:t>
      </w:r>
      <w:r w:rsidR="00775D46" w:rsidRPr="008D0934">
        <w:rPr>
          <w:sz w:val="20"/>
          <w:szCs w:val="20"/>
        </w:rPr>
        <w:t xml:space="preserve"> – ten opzichte van de voorgaande programmaperiode –</w:t>
      </w:r>
      <w:r w:rsidRPr="008D0934">
        <w:rPr>
          <w:sz w:val="20"/>
          <w:szCs w:val="20"/>
        </w:rPr>
        <w:t xml:space="preserve"> diverse </w:t>
      </w:r>
      <w:r w:rsidR="00775D46" w:rsidRPr="008D0934">
        <w:rPr>
          <w:sz w:val="20"/>
          <w:szCs w:val="20"/>
        </w:rPr>
        <w:t xml:space="preserve">nieuwe kostensoorten waar binnen </w:t>
      </w:r>
      <w:r w:rsidR="005B6D21">
        <w:rPr>
          <w:sz w:val="20"/>
          <w:szCs w:val="20"/>
        </w:rPr>
        <w:t>het SNN</w:t>
      </w:r>
      <w:r w:rsidR="00775D46" w:rsidRPr="008D0934">
        <w:rPr>
          <w:sz w:val="20"/>
          <w:szCs w:val="20"/>
        </w:rPr>
        <w:t xml:space="preserve"> mee </w:t>
      </w:r>
      <w:r w:rsidR="00920A85" w:rsidRPr="008D0934">
        <w:rPr>
          <w:sz w:val="20"/>
          <w:szCs w:val="20"/>
        </w:rPr>
        <w:t xml:space="preserve">kan worden </w:t>
      </w:r>
      <w:r w:rsidR="00775D46" w:rsidRPr="008D0934">
        <w:rPr>
          <w:sz w:val="20"/>
          <w:szCs w:val="20"/>
        </w:rPr>
        <w:t xml:space="preserve">gewerkt. Met name de kostensoorten waarbij wordt gewerkt met vaste tarieven </w:t>
      </w:r>
      <w:proofErr w:type="gramStart"/>
      <w:r w:rsidR="00775D46" w:rsidRPr="008D0934">
        <w:rPr>
          <w:sz w:val="20"/>
          <w:szCs w:val="20"/>
        </w:rPr>
        <w:t>of  vaste</w:t>
      </w:r>
      <w:proofErr w:type="gramEnd"/>
      <w:r w:rsidR="00775D46" w:rsidRPr="008D0934">
        <w:rPr>
          <w:sz w:val="20"/>
          <w:szCs w:val="20"/>
        </w:rPr>
        <w:t xml:space="preserve"> opslagen (zogeheten </w:t>
      </w:r>
      <w:proofErr w:type="spellStart"/>
      <w:r w:rsidR="00775D46" w:rsidRPr="008D0934">
        <w:rPr>
          <w:sz w:val="20"/>
          <w:szCs w:val="20"/>
        </w:rPr>
        <w:t>Simplified</w:t>
      </w:r>
      <w:proofErr w:type="spellEnd"/>
      <w:r w:rsidR="00775D46" w:rsidRPr="008D0934">
        <w:rPr>
          <w:sz w:val="20"/>
          <w:szCs w:val="20"/>
        </w:rPr>
        <w:t xml:space="preserve"> </w:t>
      </w:r>
      <w:proofErr w:type="spellStart"/>
      <w:r w:rsidR="00775D46" w:rsidRPr="008D0934">
        <w:rPr>
          <w:sz w:val="20"/>
          <w:szCs w:val="20"/>
        </w:rPr>
        <w:t>Cost</w:t>
      </w:r>
      <w:proofErr w:type="spellEnd"/>
      <w:r w:rsidR="00775D46" w:rsidRPr="008D0934">
        <w:rPr>
          <w:sz w:val="20"/>
          <w:szCs w:val="20"/>
        </w:rPr>
        <w:t xml:space="preserve"> </w:t>
      </w:r>
      <w:proofErr w:type="gramStart"/>
      <w:r w:rsidR="00775D46" w:rsidRPr="008D0934">
        <w:rPr>
          <w:sz w:val="20"/>
          <w:szCs w:val="20"/>
        </w:rPr>
        <w:t>Options</w:t>
      </w:r>
      <w:r w:rsidR="00920A85" w:rsidRPr="008D0934">
        <w:rPr>
          <w:sz w:val="20"/>
          <w:szCs w:val="20"/>
        </w:rPr>
        <w:t xml:space="preserve"> </w:t>
      </w:r>
      <w:r w:rsidR="00775D46" w:rsidRPr="008D0934">
        <w:rPr>
          <w:sz w:val="20"/>
          <w:szCs w:val="20"/>
        </w:rPr>
        <w:t>/</w:t>
      </w:r>
      <w:proofErr w:type="gramEnd"/>
      <w:r w:rsidR="00920A85" w:rsidRPr="008D0934">
        <w:rPr>
          <w:sz w:val="20"/>
          <w:szCs w:val="20"/>
        </w:rPr>
        <w:t xml:space="preserve"> </w:t>
      </w:r>
      <w:r w:rsidR="00775D46" w:rsidRPr="008D0934">
        <w:rPr>
          <w:sz w:val="20"/>
          <w:szCs w:val="20"/>
        </w:rPr>
        <w:t xml:space="preserve">SCO’s) zijn uitgebreid. Achterliggende gedachte van deze SCO’s is het verlagen van administratieve lasten, zowel aan de kant van de aanvrager </w:t>
      </w:r>
      <w:r w:rsidR="00920A85" w:rsidRPr="008D0934">
        <w:rPr>
          <w:sz w:val="20"/>
          <w:szCs w:val="20"/>
        </w:rPr>
        <w:t>alsook voor de Beheerautoriteit.</w:t>
      </w:r>
      <w:r w:rsidR="00C308DF" w:rsidRPr="008D0934">
        <w:rPr>
          <w:sz w:val="20"/>
          <w:szCs w:val="20"/>
        </w:rPr>
        <w:t xml:space="preserve"> In onderstaande tabel staan alle kostensoorten</w:t>
      </w:r>
      <w:r w:rsidR="00920A85" w:rsidRPr="008D0934">
        <w:rPr>
          <w:sz w:val="20"/>
          <w:szCs w:val="20"/>
        </w:rPr>
        <w:t xml:space="preserve"> opgesomd</w:t>
      </w:r>
      <w:r w:rsidR="00C308DF" w:rsidRPr="008D0934">
        <w:rPr>
          <w:sz w:val="20"/>
          <w:szCs w:val="20"/>
        </w:rPr>
        <w:t>, met een</w:t>
      </w:r>
      <w:r w:rsidR="00920A85" w:rsidRPr="008D0934">
        <w:rPr>
          <w:sz w:val="20"/>
          <w:szCs w:val="20"/>
        </w:rPr>
        <w:t xml:space="preserve"> korte</w:t>
      </w:r>
      <w:r w:rsidR="00C308DF" w:rsidRPr="008D0934">
        <w:rPr>
          <w:sz w:val="20"/>
          <w:szCs w:val="20"/>
        </w:rPr>
        <w:t xml:space="preserve"> toelichting</w:t>
      </w:r>
      <w:r w:rsidR="00920A85" w:rsidRPr="008D0934">
        <w:rPr>
          <w:rStyle w:val="Voetnootmarkering"/>
          <w:sz w:val="20"/>
          <w:szCs w:val="20"/>
        </w:rPr>
        <w:footnoteReference w:id="1"/>
      </w:r>
      <w:r w:rsidR="00C308DF" w:rsidRPr="008D0934">
        <w:rPr>
          <w:sz w:val="20"/>
          <w:szCs w:val="20"/>
        </w:rPr>
        <w:t>.</w:t>
      </w:r>
    </w:p>
    <w:p w14:paraId="489E0D58" w14:textId="77777777" w:rsidR="008B7B5A" w:rsidRPr="008B7B5A" w:rsidRDefault="008B7B5A" w:rsidP="008B7B5A">
      <w:pPr>
        <w:pStyle w:val="Geenafstand"/>
        <w:jc w:val="both"/>
      </w:pPr>
    </w:p>
    <w:tbl>
      <w:tblPr>
        <w:tblStyle w:val="Tabelraster"/>
        <w:tblW w:w="0" w:type="auto"/>
        <w:tblLook w:val="04A0" w:firstRow="1" w:lastRow="0" w:firstColumn="1" w:lastColumn="0" w:noHBand="0" w:noVBand="1"/>
      </w:tblPr>
      <w:tblGrid>
        <w:gridCol w:w="3253"/>
        <w:gridCol w:w="10741"/>
      </w:tblGrid>
      <w:tr w:rsidR="00C308DF" w:rsidRPr="00C308DF" w14:paraId="5578D706" w14:textId="77777777" w:rsidTr="005B6D21">
        <w:trPr>
          <w:trHeight w:val="312"/>
        </w:trPr>
        <w:tc>
          <w:tcPr>
            <w:tcW w:w="4960" w:type="dxa"/>
            <w:shd w:val="clear" w:color="auto" w:fill="0074B8"/>
            <w:noWrap/>
            <w:hideMark/>
          </w:tcPr>
          <w:p w14:paraId="008855B3" w14:textId="77777777" w:rsidR="00C308DF" w:rsidRPr="005B6D21" w:rsidRDefault="00C308DF" w:rsidP="00C308DF">
            <w:pPr>
              <w:jc w:val="both"/>
              <w:rPr>
                <w:b/>
                <w:bCs/>
                <w:color w:val="FFFFFF" w:themeColor="background1"/>
                <w:sz w:val="20"/>
                <w:szCs w:val="20"/>
              </w:rPr>
            </w:pPr>
            <w:r w:rsidRPr="005B6D21">
              <w:rPr>
                <w:b/>
                <w:bCs/>
                <w:color w:val="FFFFFF" w:themeColor="background1"/>
                <w:sz w:val="20"/>
                <w:szCs w:val="20"/>
              </w:rPr>
              <w:t>Kostensoort</w:t>
            </w:r>
          </w:p>
        </w:tc>
        <w:tc>
          <w:tcPr>
            <w:tcW w:w="16660" w:type="dxa"/>
            <w:shd w:val="clear" w:color="auto" w:fill="0074B8"/>
            <w:noWrap/>
            <w:hideMark/>
          </w:tcPr>
          <w:p w14:paraId="094C76DE" w14:textId="77777777" w:rsidR="00C308DF" w:rsidRPr="005B6D21" w:rsidRDefault="00C308DF" w:rsidP="00C308DF">
            <w:pPr>
              <w:jc w:val="both"/>
              <w:rPr>
                <w:b/>
                <w:bCs/>
                <w:color w:val="FFFFFF" w:themeColor="background1"/>
                <w:sz w:val="20"/>
                <w:szCs w:val="20"/>
              </w:rPr>
            </w:pPr>
            <w:r w:rsidRPr="005B6D21">
              <w:rPr>
                <w:b/>
                <w:bCs/>
                <w:color w:val="FFFFFF" w:themeColor="background1"/>
                <w:sz w:val="20"/>
                <w:szCs w:val="20"/>
              </w:rPr>
              <w:t>Toelichting</w:t>
            </w:r>
          </w:p>
        </w:tc>
      </w:tr>
      <w:tr w:rsidR="00C308DF" w:rsidRPr="00C308DF" w14:paraId="36B07ECC" w14:textId="77777777" w:rsidTr="005B6D21">
        <w:trPr>
          <w:trHeight w:val="300"/>
        </w:trPr>
        <w:tc>
          <w:tcPr>
            <w:tcW w:w="21620" w:type="dxa"/>
            <w:gridSpan w:val="2"/>
            <w:shd w:val="clear" w:color="auto" w:fill="C5E9FF"/>
            <w:hideMark/>
          </w:tcPr>
          <w:p w14:paraId="17DDE540" w14:textId="77777777" w:rsidR="00C308DF" w:rsidRPr="004F5110" w:rsidRDefault="00C308DF" w:rsidP="00C308DF">
            <w:pPr>
              <w:jc w:val="both"/>
              <w:rPr>
                <w:b/>
                <w:bCs/>
                <w:sz w:val="20"/>
                <w:szCs w:val="20"/>
              </w:rPr>
            </w:pPr>
            <w:r w:rsidRPr="004F5110">
              <w:rPr>
                <w:b/>
                <w:bCs/>
                <w:sz w:val="20"/>
                <w:szCs w:val="20"/>
              </w:rPr>
              <w:t>Loonkosten</w:t>
            </w:r>
          </w:p>
        </w:tc>
      </w:tr>
      <w:tr w:rsidR="00C308DF" w:rsidRPr="00C308DF" w14:paraId="01CFCE8D" w14:textId="77777777" w:rsidTr="00C308DF">
        <w:trPr>
          <w:trHeight w:val="864"/>
        </w:trPr>
        <w:tc>
          <w:tcPr>
            <w:tcW w:w="4960" w:type="dxa"/>
            <w:hideMark/>
          </w:tcPr>
          <w:p w14:paraId="2BFD3AF1" w14:textId="71835409" w:rsidR="00C308DF" w:rsidRPr="00E004B0" w:rsidRDefault="00C308DF" w:rsidP="00E004B0">
            <w:pPr>
              <w:jc w:val="both"/>
              <w:rPr>
                <w:sz w:val="20"/>
                <w:szCs w:val="20"/>
              </w:rPr>
            </w:pPr>
            <w:r w:rsidRPr="00E004B0">
              <w:rPr>
                <w:sz w:val="20"/>
                <w:szCs w:val="20"/>
              </w:rPr>
              <w:t xml:space="preserve">Uurtarief € </w:t>
            </w:r>
            <w:r w:rsidR="0048392D">
              <w:rPr>
                <w:sz w:val="20"/>
                <w:szCs w:val="20"/>
              </w:rPr>
              <w:t>60</w:t>
            </w:r>
          </w:p>
        </w:tc>
        <w:tc>
          <w:tcPr>
            <w:tcW w:w="16660" w:type="dxa"/>
            <w:hideMark/>
          </w:tcPr>
          <w:p w14:paraId="2CCAF96E" w14:textId="160C7DDC" w:rsidR="00C308DF" w:rsidRPr="008A0673" w:rsidRDefault="00C308DF" w:rsidP="00C308DF">
            <w:pPr>
              <w:jc w:val="both"/>
              <w:rPr>
                <w:sz w:val="20"/>
                <w:szCs w:val="20"/>
              </w:rPr>
            </w:pPr>
            <w:r w:rsidRPr="008A0673">
              <w:rPr>
                <w:sz w:val="20"/>
                <w:szCs w:val="20"/>
              </w:rPr>
              <w:t xml:space="preserve">Een vast uurtarief van € </w:t>
            </w:r>
            <w:r w:rsidR="0048392D">
              <w:rPr>
                <w:sz w:val="20"/>
                <w:szCs w:val="20"/>
              </w:rPr>
              <w:t>60</w:t>
            </w:r>
            <w:r w:rsidRPr="008A0673">
              <w:rPr>
                <w:sz w:val="20"/>
                <w:szCs w:val="20"/>
              </w:rPr>
              <w:t xml:space="preserve">. De totale loonkosten per medewerker worden berekend door dit uurtarief te vermenigvuldigen met het aantal begrote projecturen. Het </w:t>
            </w:r>
            <w:proofErr w:type="gramStart"/>
            <w:r w:rsidRPr="008A0673">
              <w:rPr>
                <w:sz w:val="20"/>
                <w:szCs w:val="20"/>
              </w:rPr>
              <w:t>aantal  projecturen</w:t>
            </w:r>
            <w:proofErr w:type="gramEnd"/>
            <w:r w:rsidRPr="008A0673">
              <w:rPr>
                <w:sz w:val="20"/>
                <w:szCs w:val="20"/>
              </w:rPr>
              <w:t xml:space="preserve"> moet inzichtelijk kunnen worden gemaakt tijdens de projectperiode, aan de hand van een urenregistratie per medewerker. De medewerker moet in loondienst zijn bij de participerende rechtspersoon en ten</w:t>
            </w:r>
            <w:r w:rsidR="00920A85" w:rsidRPr="008A0673">
              <w:rPr>
                <w:sz w:val="20"/>
                <w:szCs w:val="20"/>
              </w:rPr>
              <w:t xml:space="preserve"> </w:t>
            </w:r>
            <w:r w:rsidRPr="008A0673">
              <w:rPr>
                <w:sz w:val="20"/>
                <w:szCs w:val="20"/>
              </w:rPr>
              <w:t>minste het wettelijke loon ontvangen.</w:t>
            </w:r>
          </w:p>
        </w:tc>
      </w:tr>
      <w:tr w:rsidR="00C308DF" w:rsidRPr="00C308DF" w14:paraId="1D8B1ABF" w14:textId="77777777" w:rsidTr="00C308DF">
        <w:trPr>
          <w:trHeight w:val="864"/>
        </w:trPr>
        <w:tc>
          <w:tcPr>
            <w:tcW w:w="4960" w:type="dxa"/>
            <w:hideMark/>
          </w:tcPr>
          <w:p w14:paraId="1C33A5AE" w14:textId="7D44A679" w:rsidR="00C308DF" w:rsidRPr="00E004B0" w:rsidRDefault="00C308DF" w:rsidP="00E004B0">
            <w:pPr>
              <w:jc w:val="both"/>
              <w:rPr>
                <w:sz w:val="20"/>
                <w:szCs w:val="20"/>
              </w:rPr>
            </w:pPr>
            <w:r w:rsidRPr="00E004B0">
              <w:rPr>
                <w:sz w:val="20"/>
                <w:szCs w:val="20"/>
              </w:rPr>
              <w:t xml:space="preserve">Maandbedrag € </w:t>
            </w:r>
            <w:r w:rsidR="0048392D">
              <w:rPr>
                <w:sz w:val="20"/>
                <w:szCs w:val="20"/>
              </w:rPr>
              <w:t>8.600</w:t>
            </w:r>
          </w:p>
        </w:tc>
        <w:tc>
          <w:tcPr>
            <w:tcW w:w="16660" w:type="dxa"/>
            <w:hideMark/>
          </w:tcPr>
          <w:p w14:paraId="0467CF5F" w14:textId="0F3C060E" w:rsidR="00C308DF" w:rsidRPr="004F5110" w:rsidRDefault="00C308DF" w:rsidP="00C308DF">
            <w:pPr>
              <w:jc w:val="both"/>
              <w:rPr>
                <w:sz w:val="20"/>
                <w:szCs w:val="20"/>
              </w:rPr>
            </w:pPr>
            <w:r w:rsidRPr="004F5110">
              <w:rPr>
                <w:sz w:val="20"/>
                <w:szCs w:val="20"/>
              </w:rPr>
              <w:t xml:space="preserve">Een vast maandbedrag van € </w:t>
            </w:r>
            <w:r w:rsidR="0048392D">
              <w:rPr>
                <w:sz w:val="20"/>
                <w:szCs w:val="20"/>
              </w:rPr>
              <w:t>8.600</w:t>
            </w:r>
            <w:r w:rsidRPr="004F5110">
              <w:rPr>
                <w:sz w:val="20"/>
                <w:szCs w:val="20"/>
              </w:rPr>
              <w:t xml:space="preserve"> voor een medewerker die de duur van een standaard werkweek aan het project werkt. Dit vaste bedrag kan naar rato van de ingezette uren per medewerker variëren. Het percentage van de beschikbare uren voor het project ten opzichte van een volledige werkweek wordt vastgelegd in een werkgeversdocument. Bij deze kostensoort geldt niet de verplichting om een afzonderlijke urenregistratie per medewerker bij te houden.</w:t>
            </w:r>
            <w:r w:rsidR="003C5117" w:rsidRPr="004F5110">
              <w:rPr>
                <w:sz w:val="20"/>
                <w:szCs w:val="20"/>
              </w:rPr>
              <w:t xml:space="preserve"> De medewerker moet in loondienst zijn bij de participerende rechtspersoon </w:t>
            </w:r>
            <w:r w:rsidR="003C5117" w:rsidRPr="008A0673">
              <w:rPr>
                <w:sz w:val="20"/>
                <w:szCs w:val="20"/>
              </w:rPr>
              <w:t>en ten minste het wettelijke loon ontvangen.</w:t>
            </w:r>
          </w:p>
        </w:tc>
      </w:tr>
      <w:tr w:rsidR="00C308DF" w:rsidRPr="00C308DF" w14:paraId="64F71C4F" w14:textId="77777777" w:rsidTr="00C308DF">
        <w:trPr>
          <w:trHeight w:val="1440"/>
        </w:trPr>
        <w:tc>
          <w:tcPr>
            <w:tcW w:w="4960" w:type="dxa"/>
            <w:hideMark/>
          </w:tcPr>
          <w:p w14:paraId="7C8DE3CE" w14:textId="094279C8" w:rsidR="00C308DF" w:rsidRPr="00E004B0" w:rsidRDefault="00C308DF" w:rsidP="00E004B0">
            <w:pPr>
              <w:jc w:val="both"/>
              <w:rPr>
                <w:sz w:val="20"/>
                <w:szCs w:val="20"/>
              </w:rPr>
            </w:pPr>
            <w:r w:rsidRPr="00E004B0">
              <w:rPr>
                <w:sz w:val="20"/>
                <w:szCs w:val="20"/>
              </w:rPr>
              <w:t>IKS voor kennisinstellingen</w:t>
            </w:r>
          </w:p>
        </w:tc>
        <w:tc>
          <w:tcPr>
            <w:tcW w:w="16660" w:type="dxa"/>
            <w:hideMark/>
          </w:tcPr>
          <w:p w14:paraId="2909CB15" w14:textId="77777777" w:rsidR="00091BA8" w:rsidRPr="00091BA8" w:rsidRDefault="00C308DF" w:rsidP="00091BA8">
            <w:pPr>
              <w:jc w:val="both"/>
              <w:rPr>
                <w:sz w:val="20"/>
                <w:szCs w:val="20"/>
              </w:rPr>
            </w:pPr>
            <w:r w:rsidRPr="004F5110">
              <w:rPr>
                <w:sz w:val="20"/>
                <w:szCs w:val="20"/>
              </w:rPr>
              <w:t xml:space="preserve">Integrale Kostensystematiek (IKS) is een manier om directe en indirecte kosten toe te rekenen aan kostendragers, zoals arbeidsuren of machine-uren. Deze kostensoort kan uitsluitend worden begroot door kennisinstellingen en de systematiek dient door RVO te zijn goedgekeurd. Deze kostensoort is zowel </w:t>
            </w:r>
            <w:r w:rsidR="00570242">
              <w:rPr>
                <w:sz w:val="20"/>
                <w:szCs w:val="20"/>
              </w:rPr>
              <w:t xml:space="preserve">te combineren </w:t>
            </w:r>
            <w:r w:rsidRPr="004F5110">
              <w:rPr>
                <w:sz w:val="20"/>
                <w:szCs w:val="20"/>
              </w:rPr>
              <w:t xml:space="preserve">bij optie 1 </w:t>
            </w:r>
            <w:r w:rsidR="00570242">
              <w:rPr>
                <w:sz w:val="20"/>
                <w:szCs w:val="20"/>
              </w:rPr>
              <w:t>alsook 3</w:t>
            </w:r>
            <w:r w:rsidRPr="004F5110">
              <w:rPr>
                <w:sz w:val="20"/>
                <w:szCs w:val="20"/>
              </w:rPr>
              <w:t xml:space="preserve">. Echter, bij optie 3 mogen voor geen enkele partner, dus ook niet voor de kennisinstelling, externe kosten begroot worden. De totale loonkosten per medewerker worden berekend door het tarief dat voortkomt uit de systematiek voor de </w:t>
            </w:r>
            <w:proofErr w:type="gramStart"/>
            <w:r w:rsidRPr="004F5110">
              <w:rPr>
                <w:sz w:val="20"/>
                <w:szCs w:val="20"/>
              </w:rPr>
              <w:t>medewerker</w:t>
            </w:r>
            <w:r w:rsidR="00570242">
              <w:rPr>
                <w:sz w:val="20"/>
                <w:szCs w:val="20"/>
              </w:rPr>
              <w:t xml:space="preserve"> </w:t>
            </w:r>
            <w:r w:rsidRPr="004F5110">
              <w:rPr>
                <w:sz w:val="20"/>
                <w:szCs w:val="20"/>
              </w:rPr>
              <w:t>/</w:t>
            </w:r>
            <w:proofErr w:type="gramEnd"/>
            <w:r w:rsidR="00570242">
              <w:rPr>
                <w:sz w:val="20"/>
                <w:szCs w:val="20"/>
              </w:rPr>
              <w:t xml:space="preserve"> </w:t>
            </w:r>
            <w:r w:rsidRPr="004F5110">
              <w:rPr>
                <w:sz w:val="20"/>
                <w:szCs w:val="20"/>
              </w:rPr>
              <w:t xml:space="preserve">functiegroep te vermenigvuldigen met het aantal begrote projecturen. </w:t>
            </w:r>
            <w:r w:rsidR="00091BA8" w:rsidRPr="00091BA8">
              <w:rPr>
                <w:sz w:val="20"/>
                <w:szCs w:val="20"/>
              </w:rPr>
              <w:t xml:space="preserve">Het aantal projecturen moet inzichtelijk kunnen worden gemaakt tijdens de projectperiode, aan de hand van een </w:t>
            </w:r>
          </w:p>
          <w:p w14:paraId="6A694E8B" w14:textId="77C0A537" w:rsidR="00C308DF" w:rsidRPr="004F5110" w:rsidRDefault="00091BA8" w:rsidP="00091BA8">
            <w:pPr>
              <w:jc w:val="both"/>
              <w:rPr>
                <w:sz w:val="20"/>
                <w:szCs w:val="20"/>
              </w:rPr>
            </w:pPr>
            <w:proofErr w:type="gramStart"/>
            <w:r w:rsidRPr="00091BA8">
              <w:rPr>
                <w:sz w:val="20"/>
                <w:szCs w:val="20"/>
              </w:rPr>
              <w:t>sluitende</w:t>
            </w:r>
            <w:proofErr w:type="gramEnd"/>
            <w:r w:rsidRPr="00091BA8">
              <w:rPr>
                <w:sz w:val="20"/>
                <w:szCs w:val="20"/>
              </w:rPr>
              <w:t xml:space="preserve"> urenregistratie per medewerker. Een werkgeversverklaring volstaat voor deze kostensoort niet.</w:t>
            </w:r>
          </w:p>
        </w:tc>
      </w:tr>
      <w:tr w:rsidR="00C308DF" w:rsidRPr="00C308DF" w14:paraId="04A9C23E" w14:textId="77777777" w:rsidTr="00C308DF">
        <w:trPr>
          <w:trHeight w:val="876"/>
        </w:trPr>
        <w:tc>
          <w:tcPr>
            <w:tcW w:w="4960" w:type="dxa"/>
            <w:hideMark/>
          </w:tcPr>
          <w:p w14:paraId="7705FF87" w14:textId="659D6B20" w:rsidR="00C308DF" w:rsidRPr="00E004B0" w:rsidRDefault="00C308DF" w:rsidP="00E004B0">
            <w:pPr>
              <w:jc w:val="both"/>
              <w:rPr>
                <w:sz w:val="20"/>
                <w:szCs w:val="20"/>
              </w:rPr>
            </w:pPr>
            <w:r w:rsidRPr="00E004B0">
              <w:rPr>
                <w:sz w:val="20"/>
                <w:szCs w:val="20"/>
              </w:rPr>
              <w:t>Forfait 23% over overige directe kosten</w:t>
            </w:r>
          </w:p>
        </w:tc>
        <w:tc>
          <w:tcPr>
            <w:tcW w:w="16660" w:type="dxa"/>
            <w:hideMark/>
          </w:tcPr>
          <w:p w14:paraId="0FF39112" w14:textId="5C33EB98" w:rsidR="00983F62" w:rsidRPr="004F5110" w:rsidRDefault="00C308DF" w:rsidP="00C308DF">
            <w:pPr>
              <w:jc w:val="both"/>
              <w:rPr>
                <w:sz w:val="20"/>
                <w:szCs w:val="20"/>
              </w:rPr>
            </w:pPr>
            <w:r w:rsidRPr="004F5110">
              <w:rPr>
                <w:sz w:val="20"/>
                <w:szCs w:val="20"/>
              </w:rPr>
              <w:t xml:space="preserve">Een forfait voor de berekening van de </w:t>
            </w:r>
            <w:r w:rsidR="00A2676C">
              <w:rPr>
                <w:sz w:val="20"/>
                <w:szCs w:val="20"/>
              </w:rPr>
              <w:t xml:space="preserve">directe </w:t>
            </w:r>
            <w:r w:rsidRPr="004F5110">
              <w:rPr>
                <w:sz w:val="20"/>
                <w:szCs w:val="20"/>
              </w:rPr>
              <w:t>loonkosten</w:t>
            </w:r>
            <w:r w:rsidR="008A0673">
              <w:rPr>
                <w:sz w:val="20"/>
                <w:szCs w:val="20"/>
              </w:rPr>
              <w:t xml:space="preserve"> plus 15% opslag voor indirecte kosten</w:t>
            </w:r>
            <w:r w:rsidRPr="004F5110">
              <w:rPr>
                <w:sz w:val="20"/>
                <w:szCs w:val="20"/>
              </w:rPr>
              <w:t>. Hierbij wordt 23% berekend over de begrote overige kosten. Bij deze kostensoort geldt niet de verplichting om een afzonderlijke urenregistratie per medewerker bij te houden. Let op: Deze variant kan alleen als deze door alle partners wordt gekozen! Een individuele keuze van één of enkele partners is niet mogelijk.</w:t>
            </w:r>
          </w:p>
          <w:p w14:paraId="3C28CF69" w14:textId="070A2FD7" w:rsidR="00C308DF" w:rsidRPr="004F5110" w:rsidRDefault="00C308DF" w:rsidP="00C308DF">
            <w:pPr>
              <w:jc w:val="both"/>
              <w:rPr>
                <w:sz w:val="20"/>
                <w:szCs w:val="20"/>
              </w:rPr>
            </w:pPr>
          </w:p>
        </w:tc>
      </w:tr>
      <w:tr w:rsidR="00C308DF" w:rsidRPr="00C308DF" w14:paraId="73C82C92" w14:textId="77777777" w:rsidTr="005B6D21">
        <w:trPr>
          <w:trHeight w:val="300"/>
        </w:trPr>
        <w:tc>
          <w:tcPr>
            <w:tcW w:w="21620" w:type="dxa"/>
            <w:gridSpan w:val="2"/>
            <w:shd w:val="clear" w:color="auto" w:fill="C5E9FF"/>
            <w:hideMark/>
          </w:tcPr>
          <w:p w14:paraId="7F8D88DB" w14:textId="77777777" w:rsidR="00C308DF" w:rsidRPr="004F5110" w:rsidRDefault="00C308DF" w:rsidP="00C308DF">
            <w:pPr>
              <w:jc w:val="both"/>
              <w:rPr>
                <w:b/>
                <w:bCs/>
                <w:sz w:val="20"/>
                <w:szCs w:val="20"/>
              </w:rPr>
            </w:pPr>
            <w:r w:rsidRPr="004F5110">
              <w:rPr>
                <w:b/>
                <w:bCs/>
                <w:sz w:val="20"/>
                <w:szCs w:val="20"/>
              </w:rPr>
              <w:t>Overige kosten</w:t>
            </w:r>
          </w:p>
        </w:tc>
      </w:tr>
      <w:tr w:rsidR="00C308DF" w:rsidRPr="00C308DF" w14:paraId="6FC1DA7B" w14:textId="77777777" w:rsidTr="008D0934">
        <w:trPr>
          <w:trHeight w:val="416"/>
        </w:trPr>
        <w:tc>
          <w:tcPr>
            <w:tcW w:w="4960" w:type="dxa"/>
            <w:hideMark/>
          </w:tcPr>
          <w:p w14:paraId="6162D659" w14:textId="4261C69D" w:rsidR="00C308DF" w:rsidRPr="00E004B0" w:rsidRDefault="00C308DF" w:rsidP="00E004B0">
            <w:pPr>
              <w:jc w:val="both"/>
              <w:rPr>
                <w:sz w:val="20"/>
                <w:szCs w:val="20"/>
              </w:rPr>
            </w:pPr>
            <w:r w:rsidRPr="00E004B0">
              <w:rPr>
                <w:sz w:val="20"/>
                <w:szCs w:val="20"/>
              </w:rPr>
              <w:t>Afschrijvingskosten</w:t>
            </w:r>
          </w:p>
        </w:tc>
        <w:tc>
          <w:tcPr>
            <w:tcW w:w="16660" w:type="dxa"/>
            <w:hideMark/>
          </w:tcPr>
          <w:p w14:paraId="27C5F12C" w14:textId="2B7C09C0" w:rsidR="00C308DF" w:rsidRPr="004F5110" w:rsidRDefault="00C308DF" w:rsidP="00C308DF">
            <w:pPr>
              <w:jc w:val="both"/>
              <w:rPr>
                <w:sz w:val="20"/>
                <w:szCs w:val="20"/>
              </w:rPr>
            </w:pPr>
            <w:r w:rsidRPr="004F5110">
              <w:rPr>
                <w:sz w:val="20"/>
                <w:szCs w:val="20"/>
              </w:rPr>
              <w:t>Kosten</w:t>
            </w:r>
            <w:r w:rsidR="00570242">
              <w:rPr>
                <w:sz w:val="20"/>
                <w:szCs w:val="20"/>
              </w:rPr>
              <w:t xml:space="preserve"> bedoeld voor</w:t>
            </w:r>
            <w:r w:rsidRPr="004F5110">
              <w:rPr>
                <w:sz w:val="20"/>
                <w:szCs w:val="20"/>
              </w:rPr>
              <w:t xml:space="preserve"> apparatuur, machines en uitrusting die al voor aanvang van de projectperiode in bezit zijn van een projectpartner. De kosten kunnen worden begroot, voor zover en zolang zij worden gebruikt voor het project. Wanneer deze apparatuur, machines en uitrusting niet tijdens hun volledige levensduur voor het project worden gebruikt, worden alleen de </w:t>
            </w:r>
            <w:r w:rsidRPr="004F5110">
              <w:rPr>
                <w:sz w:val="20"/>
                <w:szCs w:val="20"/>
              </w:rPr>
              <w:lastRenderedPageBreak/>
              <w:t>afschrijvingskosten overeenstemmend met de looptijd van het project berekend volgens algemeen erkende boekhoudkundige beginselen, als in aanmerking komende kosten beschouwd. Het moet gaan om activa waarover u economisch risico loopt (geen huur of operational lease).</w:t>
            </w:r>
          </w:p>
        </w:tc>
      </w:tr>
      <w:tr w:rsidR="00C308DF" w:rsidRPr="00C308DF" w14:paraId="4063FB53" w14:textId="77777777" w:rsidTr="00C308DF">
        <w:trPr>
          <w:trHeight w:val="3828"/>
        </w:trPr>
        <w:tc>
          <w:tcPr>
            <w:tcW w:w="4960" w:type="dxa"/>
            <w:hideMark/>
          </w:tcPr>
          <w:p w14:paraId="7AE7950B" w14:textId="48A6394D" w:rsidR="00C308DF" w:rsidRPr="00E004B0" w:rsidRDefault="00C308DF" w:rsidP="00E004B0">
            <w:pPr>
              <w:jc w:val="both"/>
              <w:rPr>
                <w:sz w:val="20"/>
                <w:szCs w:val="20"/>
              </w:rPr>
            </w:pPr>
            <w:r w:rsidRPr="00E004B0">
              <w:rPr>
                <w:sz w:val="20"/>
                <w:szCs w:val="20"/>
              </w:rPr>
              <w:lastRenderedPageBreak/>
              <w:t>Bijdragen in natura</w:t>
            </w:r>
          </w:p>
        </w:tc>
        <w:tc>
          <w:tcPr>
            <w:tcW w:w="16660" w:type="dxa"/>
            <w:hideMark/>
          </w:tcPr>
          <w:p w14:paraId="214DCAA6" w14:textId="55AD9984" w:rsidR="00C308DF" w:rsidRPr="004F5110" w:rsidRDefault="00C308DF" w:rsidP="00C308DF">
            <w:pPr>
              <w:jc w:val="both"/>
              <w:rPr>
                <w:sz w:val="20"/>
                <w:szCs w:val="20"/>
              </w:rPr>
            </w:pPr>
            <w:r w:rsidRPr="004F5110">
              <w:rPr>
                <w:sz w:val="20"/>
                <w:szCs w:val="20"/>
              </w:rPr>
              <w:t xml:space="preserve">Bijdrage in natura kent onderscheid tussen bijdrage in natura in de vorm van goederen, diensten en </w:t>
            </w:r>
            <w:proofErr w:type="gramStart"/>
            <w:r w:rsidRPr="004F5110">
              <w:rPr>
                <w:sz w:val="20"/>
                <w:szCs w:val="20"/>
              </w:rPr>
              <w:t>grond</w:t>
            </w:r>
            <w:r w:rsidR="00570242">
              <w:rPr>
                <w:sz w:val="20"/>
                <w:szCs w:val="20"/>
              </w:rPr>
              <w:t xml:space="preserve"> </w:t>
            </w:r>
            <w:r w:rsidRPr="004F5110">
              <w:rPr>
                <w:sz w:val="20"/>
                <w:szCs w:val="20"/>
              </w:rPr>
              <w:t>/</w:t>
            </w:r>
            <w:proofErr w:type="gramEnd"/>
            <w:r w:rsidR="00570242">
              <w:rPr>
                <w:sz w:val="20"/>
                <w:szCs w:val="20"/>
              </w:rPr>
              <w:t xml:space="preserve"> </w:t>
            </w:r>
            <w:r w:rsidRPr="004F5110">
              <w:rPr>
                <w:sz w:val="20"/>
                <w:szCs w:val="20"/>
              </w:rPr>
              <w:t xml:space="preserve">onroerend goed. Goederen kunnen als bijdrage in natura in het project worden ingebracht, als hierover niet (meer) wordt afgeschreven. De waarde moet op onafhankelijke wijze worden bepaald. Daarnaast moet ook een toerekening plaatsvinden die gebaseerd is op het gebruik van de machine binnen het project ten opzichte van de werkelijke bezetting. Bij bijdrage in natura in de vorm van diensten gaat het om eigen arbeid van personen die niet worden verloond. Dit komt voor bij - zelfstandigen die geen </w:t>
            </w:r>
            <w:proofErr w:type="gramStart"/>
            <w:r w:rsidRPr="004F5110">
              <w:rPr>
                <w:sz w:val="20"/>
                <w:szCs w:val="20"/>
              </w:rPr>
              <w:t>bruto loon</w:t>
            </w:r>
            <w:proofErr w:type="gramEnd"/>
            <w:r w:rsidRPr="004F5110">
              <w:rPr>
                <w:sz w:val="20"/>
                <w:szCs w:val="20"/>
              </w:rPr>
              <w:t xml:space="preserve"> ontvangen, waarbij voor de aangifte inkomstenbelasting sprake is van ‘winst uit onderneming’, DGA's die niet worden </w:t>
            </w:r>
            <w:proofErr w:type="spellStart"/>
            <w:r w:rsidRPr="004F5110">
              <w:rPr>
                <w:sz w:val="20"/>
                <w:szCs w:val="20"/>
              </w:rPr>
              <w:t>verloond</w:t>
            </w:r>
            <w:proofErr w:type="spellEnd"/>
            <w:r w:rsidRPr="004F5110">
              <w:rPr>
                <w:sz w:val="20"/>
                <w:szCs w:val="20"/>
              </w:rPr>
              <w:t xml:space="preserve"> (bijvoorbeeld in </w:t>
            </w:r>
            <w:proofErr w:type="spellStart"/>
            <w:r w:rsidRPr="004F5110">
              <w:rPr>
                <w:sz w:val="20"/>
                <w:szCs w:val="20"/>
              </w:rPr>
              <w:t>V.O.F.’s</w:t>
            </w:r>
            <w:proofErr w:type="spellEnd"/>
            <w:r w:rsidRPr="004F5110">
              <w:rPr>
                <w:sz w:val="20"/>
                <w:szCs w:val="20"/>
              </w:rPr>
              <w:t>, maatschappen of eenmanszaken</w:t>
            </w:r>
            <w:r w:rsidR="00E004B0">
              <w:rPr>
                <w:sz w:val="20"/>
                <w:szCs w:val="20"/>
              </w:rPr>
              <w:t xml:space="preserve">, </w:t>
            </w:r>
            <w:r w:rsidRPr="004F5110">
              <w:rPr>
                <w:sz w:val="20"/>
                <w:szCs w:val="20"/>
              </w:rPr>
              <w:t xml:space="preserve">meewerkende </w:t>
            </w:r>
            <w:proofErr w:type="spellStart"/>
            <w:r w:rsidRPr="004F5110">
              <w:rPr>
                <w:sz w:val="20"/>
                <w:szCs w:val="20"/>
              </w:rPr>
              <w:t>echtgeno</w:t>
            </w:r>
            <w:proofErr w:type="spellEnd"/>
            <w:r w:rsidRPr="004F5110">
              <w:rPr>
                <w:sz w:val="20"/>
                <w:szCs w:val="20"/>
              </w:rPr>
              <w:t>(o)t(e)</w:t>
            </w:r>
            <w:r w:rsidR="00E004B0">
              <w:t xml:space="preserve"> en </w:t>
            </w:r>
            <w:r w:rsidR="00E004B0" w:rsidRPr="00E004B0">
              <w:rPr>
                <w:sz w:val="20"/>
                <w:szCs w:val="20"/>
              </w:rPr>
              <w:t>niet-</w:t>
            </w:r>
            <w:proofErr w:type="spellStart"/>
            <w:r w:rsidR="00E004B0" w:rsidRPr="00E004B0">
              <w:rPr>
                <w:sz w:val="20"/>
                <w:szCs w:val="20"/>
              </w:rPr>
              <w:t>verloonde</w:t>
            </w:r>
            <w:proofErr w:type="spellEnd"/>
            <w:r w:rsidR="00E004B0" w:rsidRPr="00E004B0">
              <w:rPr>
                <w:sz w:val="20"/>
                <w:szCs w:val="20"/>
              </w:rPr>
              <w:t xml:space="preserve"> bestuurders van stichtingen</w:t>
            </w:r>
            <w:r w:rsidRPr="004F5110">
              <w:rPr>
                <w:sz w:val="20"/>
                <w:szCs w:val="20"/>
              </w:rPr>
              <w:t xml:space="preserve">. De kosten van de door een subsidieontvanger verrichte eigen arbeid ten behoeve van het project worden berekend door het aantal uren dat de betrokken persoon ten behoeve van het project heeft gemaakt te vermenigvuldigen met een vast uurtarief van € </w:t>
            </w:r>
            <w:r w:rsidR="0048392D">
              <w:rPr>
                <w:sz w:val="20"/>
                <w:szCs w:val="20"/>
              </w:rPr>
              <w:t>60</w:t>
            </w:r>
            <w:r w:rsidRPr="004F5110">
              <w:rPr>
                <w:sz w:val="20"/>
                <w:szCs w:val="20"/>
              </w:rPr>
              <w:t xml:space="preserve">. Bij bijdrage in natura in de vorm van grond/onroerend goed gaat het om grond of onroerend goed dat al voor aanvang van de projectperiode in bezit is van een projectpartner en wordt ingebracht in het project. De waarde van de grond of het onroerend goed mag niet hoger zijn dan de normale marktwaarde. De waarde wordt objectief bepaald, bijvoorbeeld op basis van de WOZ-waarde op het moment van inbreng of op basis van een verklaring van een onafhankelijke en professionele deskundige. Als de </w:t>
            </w:r>
            <w:proofErr w:type="gramStart"/>
            <w:r w:rsidRPr="004F5110">
              <w:rPr>
                <w:sz w:val="20"/>
                <w:szCs w:val="20"/>
              </w:rPr>
              <w:t>gemeente grond</w:t>
            </w:r>
            <w:proofErr w:type="gramEnd"/>
            <w:r w:rsidRPr="004F5110">
              <w:rPr>
                <w:sz w:val="20"/>
                <w:szCs w:val="20"/>
              </w:rPr>
              <w:t xml:space="preserve"> inbrengt kan de waarde ook gebaseerd worden op een recent raadsbesluit waarin grondprijs vastgesteld is. Let op: de kosten van de ingebrachte grond (bebouwd of onbebouwd) die meer bedragen dan 10% van de totale subsidiabele uitgaven van het project, zijn niet subsidiabel. Let op: De betaalde overheidssteun aan een project dat bijdragen in natura bevat, mag aan het einde van het project namelijk niet hoger zijn dan de totale subsidiabele uitgaven exclusief de bijdragen in natura.</w:t>
            </w:r>
          </w:p>
        </w:tc>
      </w:tr>
      <w:tr w:rsidR="00C308DF" w:rsidRPr="00C308DF" w14:paraId="180C7784" w14:textId="77777777" w:rsidTr="00C308DF">
        <w:trPr>
          <w:trHeight w:val="636"/>
        </w:trPr>
        <w:tc>
          <w:tcPr>
            <w:tcW w:w="4960" w:type="dxa"/>
            <w:hideMark/>
          </w:tcPr>
          <w:p w14:paraId="56AD81C2" w14:textId="3DCB1C96" w:rsidR="00C308DF" w:rsidRPr="00E004B0" w:rsidRDefault="00C308DF" w:rsidP="00E004B0">
            <w:pPr>
              <w:jc w:val="both"/>
              <w:rPr>
                <w:sz w:val="20"/>
                <w:szCs w:val="20"/>
              </w:rPr>
            </w:pPr>
            <w:r w:rsidRPr="00E004B0">
              <w:rPr>
                <w:sz w:val="20"/>
                <w:szCs w:val="20"/>
              </w:rPr>
              <w:t>Overige kosten derden</w:t>
            </w:r>
          </w:p>
        </w:tc>
        <w:tc>
          <w:tcPr>
            <w:tcW w:w="16660" w:type="dxa"/>
            <w:hideMark/>
          </w:tcPr>
          <w:p w14:paraId="5957CAD0" w14:textId="77777777" w:rsidR="00C308DF" w:rsidRPr="004F5110" w:rsidRDefault="00C308DF" w:rsidP="00C308DF">
            <w:pPr>
              <w:jc w:val="both"/>
              <w:rPr>
                <w:sz w:val="20"/>
                <w:szCs w:val="20"/>
              </w:rPr>
            </w:pPr>
            <w:r w:rsidRPr="004F5110">
              <w:rPr>
                <w:sz w:val="20"/>
                <w:szCs w:val="20"/>
              </w:rPr>
              <w:t>Alle direct aan de uitvoering van de projectactiviteiten gerelateerde uitgaven op basis van betaalde facturen en prestatiebewijzen. Hieronder vallen bijvoorbeeld de inhuur van externen, de aankoop van machines en materialen, kosten voor communicatie-activiteiten en toerekenbare kosten van personeelsdeclaraties voor reis- en verblijfskosten.</w:t>
            </w:r>
          </w:p>
        </w:tc>
      </w:tr>
      <w:tr w:rsidR="00C308DF" w:rsidRPr="00C308DF" w14:paraId="52301435" w14:textId="77777777" w:rsidTr="00C308DF">
        <w:trPr>
          <w:trHeight w:val="588"/>
        </w:trPr>
        <w:tc>
          <w:tcPr>
            <w:tcW w:w="4960" w:type="dxa"/>
            <w:hideMark/>
          </w:tcPr>
          <w:p w14:paraId="3151B049" w14:textId="0559CCA9" w:rsidR="00C308DF" w:rsidRPr="00E004B0" w:rsidRDefault="00C308DF" w:rsidP="00E004B0">
            <w:pPr>
              <w:jc w:val="both"/>
              <w:rPr>
                <w:sz w:val="20"/>
                <w:szCs w:val="20"/>
              </w:rPr>
            </w:pPr>
            <w:r w:rsidRPr="00E004B0">
              <w:rPr>
                <w:sz w:val="20"/>
                <w:szCs w:val="20"/>
              </w:rPr>
              <w:t>Forfait kleine uitgaven &lt; € 250 (1% van Overige kosten derden)</w:t>
            </w:r>
          </w:p>
        </w:tc>
        <w:tc>
          <w:tcPr>
            <w:tcW w:w="16660" w:type="dxa"/>
            <w:hideMark/>
          </w:tcPr>
          <w:p w14:paraId="5E4D917B" w14:textId="549BEA12" w:rsidR="00C308DF" w:rsidRPr="004F5110" w:rsidRDefault="00C308DF" w:rsidP="00C308DF">
            <w:pPr>
              <w:jc w:val="both"/>
              <w:rPr>
                <w:sz w:val="20"/>
                <w:szCs w:val="20"/>
              </w:rPr>
            </w:pPr>
            <w:r w:rsidRPr="004F5110">
              <w:rPr>
                <w:sz w:val="20"/>
                <w:szCs w:val="20"/>
              </w:rPr>
              <w:t>Over de begrote overige kosten derden wordt automatisch een forfait berekend van 1%, voor kleine uitgaven &lt; € 250</w:t>
            </w:r>
            <w:r w:rsidR="00DD6D4C">
              <w:rPr>
                <w:sz w:val="20"/>
                <w:szCs w:val="20"/>
              </w:rPr>
              <w:t xml:space="preserve"> (ex. BTW)</w:t>
            </w:r>
            <w:r w:rsidRPr="004F5110">
              <w:rPr>
                <w:sz w:val="20"/>
                <w:szCs w:val="20"/>
              </w:rPr>
              <w:t>. Dat betekent dat deze kleine uitgaven niet als losse declaraties kunnen worden begroot noch gedeclareerd.</w:t>
            </w:r>
          </w:p>
          <w:p w14:paraId="3FB75644" w14:textId="77777777" w:rsidR="00983F62" w:rsidRPr="004F5110" w:rsidRDefault="00983F62" w:rsidP="00C308DF">
            <w:pPr>
              <w:jc w:val="both"/>
              <w:rPr>
                <w:sz w:val="20"/>
                <w:szCs w:val="20"/>
              </w:rPr>
            </w:pPr>
          </w:p>
          <w:p w14:paraId="25E4B63D" w14:textId="60D2FDB0" w:rsidR="00C308DF" w:rsidRPr="004F5110" w:rsidRDefault="00C308DF" w:rsidP="00C308DF">
            <w:pPr>
              <w:jc w:val="both"/>
              <w:rPr>
                <w:sz w:val="20"/>
                <w:szCs w:val="20"/>
              </w:rPr>
            </w:pPr>
          </w:p>
        </w:tc>
      </w:tr>
      <w:tr w:rsidR="00C308DF" w:rsidRPr="00C308DF" w14:paraId="79AB843E" w14:textId="77777777" w:rsidTr="005B6D21">
        <w:trPr>
          <w:trHeight w:val="300"/>
        </w:trPr>
        <w:tc>
          <w:tcPr>
            <w:tcW w:w="21620" w:type="dxa"/>
            <w:gridSpan w:val="2"/>
            <w:shd w:val="clear" w:color="auto" w:fill="C5E9FF"/>
            <w:hideMark/>
          </w:tcPr>
          <w:p w14:paraId="19840B20" w14:textId="77777777" w:rsidR="00C308DF" w:rsidRPr="004F5110" w:rsidRDefault="00C308DF" w:rsidP="00C308DF">
            <w:pPr>
              <w:jc w:val="both"/>
              <w:rPr>
                <w:b/>
                <w:bCs/>
                <w:sz w:val="20"/>
                <w:szCs w:val="20"/>
              </w:rPr>
            </w:pPr>
            <w:r w:rsidRPr="004F5110">
              <w:rPr>
                <w:b/>
                <w:bCs/>
                <w:sz w:val="20"/>
                <w:szCs w:val="20"/>
              </w:rPr>
              <w:t>Combinatie loonkosten en overige kosten</w:t>
            </w:r>
          </w:p>
        </w:tc>
      </w:tr>
      <w:tr w:rsidR="00C308DF" w:rsidRPr="00C308DF" w14:paraId="66EAB2BC" w14:textId="77777777" w:rsidTr="00C308DF">
        <w:trPr>
          <w:trHeight w:val="1152"/>
        </w:trPr>
        <w:tc>
          <w:tcPr>
            <w:tcW w:w="4960" w:type="dxa"/>
            <w:hideMark/>
          </w:tcPr>
          <w:p w14:paraId="43FD3283" w14:textId="26C7D2FA" w:rsidR="00C308DF" w:rsidRPr="00E004B0" w:rsidRDefault="00C308DF" w:rsidP="00E004B0">
            <w:pPr>
              <w:jc w:val="both"/>
              <w:rPr>
                <w:sz w:val="20"/>
                <w:szCs w:val="20"/>
              </w:rPr>
            </w:pPr>
            <w:r w:rsidRPr="00E004B0">
              <w:rPr>
                <w:sz w:val="20"/>
                <w:szCs w:val="20"/>
              </w:rPr>
              <w:t xml:space="preserve">Uurtarief € </w:t>
            </w:r>
            <w:r w:rsidR="0048392D">
              <w:rPr>
                <w:sz w:val="20"/>
                <w:szCs w:val="20"/>
              </w:rPr>
              <w:t>73</w:t>
            </w:r>
          </w:p>
        </w:tc>
        <w:tc>
          <w:tcPr>
            <w:tcW w:w="16660" w:type="dxa"/>
            <w:hideMark/>
          </w:tcPr>
          <w:p w14:paraId="6387AC52" w14:textId="641A33EA" w:rsidR="00C308DF" w:rsidRPr="004F5110" w:rsidRDefault="00C308DF" w:rsidP="00C308DF">
            <w:pPr>
              <w:jc w:val="both"/>
              <w:rPr>
                <w:sz w:val="20"/>
                <w:szCs w:val="20"/>
              </w:rPr>
            </w:pPr>
            <w:r w:rsidRPr="004F5110">
              <w:rPr>
                <w:sz w:val="20"/>
                <w:szCs w:val="20"/>
              </w:rPr>
              <w:t xml:space="preserve">Een vast uurtarief van € </w:t>
            </w:r>
            <w:r w:rsidR="0048392D">
              <w:rPr>
                <w:sz w:val="20"/>
                <w:szCs w:val="20"/>
              </w:rPr>
              <w:t>73</w:t>
            </w:r>
            <w:r w:rsidRPr="004F5110">
              <w:rPr>
                <w:sz w:val="20"/>
                <w:szCs w:val="20"/>
              </w:rPr>
              <w:t xml:space="preserve">, waarin zowel loonkosten als overige kosten verdisconteerd zijn. </w:t>
            </w:r>
            <w:proofErr w:type="gramStart"/>
            <w:r w:rsidRPr="004F5110">
              <w:rPr>
                <w:sz w:val="20"/>
                <w:szCs w:val="20"/>
              </w:rPr>
              <w:t>Derhalve</w:t>
            </w:r>
            <w:proofErr w:type="gramEnd"/>
            <w:r w:rsidRPr="004F5110">
              <w:rPr>
                <w:sz w:val="20"/>
                <w:szCs w:val="20"/>
              </w:rPr>
              <w:t xml:space="preserve"> kunnen - bij gebruik van deze kostensoort - niet ook overige kosten los begroot worden. De totale loonkosten en overige kosten per medewerker worden berekend door dit uurtarief te vermenigvuldigen met het aantal begrote projecturen. Het </w:t>
            </w:r>
            <w:proofErr w:type="gramStart"/>
            <w:r w:rsidRPr="004F5110">
              <w:rPr>
                <w:sz w:val="20"/>
                <w:szCs w:val="20"/>
              </w:rPr>
              <w:t>aantal  projecturen</w:t>
            </w:r>
            <w:proofErr w:type="gramEnd"/>
            <w:r w:rsidRPr="004F5110">
              <w:rPr>
                <w:sz w:val="20"/>
                <w:szCs w:val="20"/>
              </w:rPr>
              <w:t xml:space="preserve"> moet inzichtelijk kunnen worden gemaakt tijdens de projectperiode, aan de hand van een urenregistratie per medewerker. De medewerker moet in loondienst zijn bij de participerende rechtspersoon en ten</w:t>
            </w:r>
            <w:r w:rsidR="00570A11">
              <w:rPr>
                <w:sz w:val="20"/>
                <w:szCs w:val="20"/>
              </w:rPr>
              <w:t xml:space="preserve"> </w:t>
            </w:r>
            <w:r w:rsidRPr="004F5110">
              <w:rPr>
                <w:sz w:val="20"/>
                <w:szCs w:val="20"/>
              </w:rPr>
              <w:t>minste het wettelijke loon ontvangen.</w:t>
            </w:r>
          </w:p>
        </w:tc>
      </w:tr>
      <w:tr w:rsidR="00C308DF" w:rsidRPr="00C308DF" w14:paraId="0C2F0574" w14:textId="77777777" w:rsidTr="00C308DF">
        <w:trPr>
          <w:trHeight w:val="924"/>
        </w:trPr>
        <w:tc>
          <w:tcPr>
            <w:tcW w:w="4960" w:type="dxa"/>
            <w:hideMark/>
          </w:tcPr>
          <w:p w14:paraId="54D7B42E" w14:textId="6F82D9F6" w:rsidR="00C308DF" w:rsidRPr="00E004B0" w:rsidRDefault="00C308DF" w:rsidP="00E004B0">
            <w:pPr>
              <w:jc w:val="both"/>
              <w:rPr>
                <w:sz w:val="20"/>
                <w:szCs w:val="20"/>
              </w:rPr>
            </w:pPr>
            <w:r w:rsidRPr="00E004B0">
              <w:rPr>
                <w:sz w:val="20"/>
                <w:szCs w:val="20"/>
              </w:rPr>
              <w:t xml:space="preserve">Maandbedrag € </w:t>
            </w:r>
            <w:r w:rsidR="0048392D">
              <w:rPr>
                <w:sz w:val="20"/>
                <w:szCs w:val="20"/>
              </w:rPr>
              <w:t>10.400</w:t>
            </w:r>
          </w:p>
        </w:tc>
        <w:tc>
          <w:tcPr>
            <w:tcW w:w="16660" w:type="dxa"/>
            <w:hideMark/>
          </w:tcPr>
          <w:p w14:paraId="72283966" w14:textId="0CC00ED0" w:rsidR="00C308DF" w:rsidRPr="004F5110" w:rsidRDefault="00C308DF" w:rsidP="00C308DF">
            <w:pPr>
              <w:jc w:val="both"/>
              <w:rPr>
                <w:sz w:val="20"/>
                <w:szCs w:val="20"/>
              </w:rPr>
            </w:pPr>
            <w:r w:rsidRPr="004F5110">
              <w:rPr>
                <w:sz w:val="20"/>
                <w:szCs w:val="20"/>
              </w:rPr>
              <w:t xml:space="preserve">Een vast maandbedrag van € </w:t>
            </w:r>
            <w:r w:rsidR="0048392D">
              <w:rPr>
                <w:sz w:val="20"/>
                <w:szCs w:val="20"/>
              </w:rPr>
              <w:t>10.400</w:t>
            </w:r>
            <w:r w:rsidRPr="004F5110">
              <w:rPr>
                <w:sz w:val="20"/>
                <w:szCs w:val="20"/>
              </w:rPr>
              <w:t xml:space="preserve"> voor een medewerker die de duur van een standaard werkweek aan het project werkt. Dit vaste bedrag kan naar rato van de ingezette uren per medewerker variëren. Het percentage van de beschikbare uren voor het project ten opzichte van een volledige werkweek wordt vastgelegd in een werkgeversdocument. Bij deze kostensoort geldt niet de </w:t>
            </w:r>
            <w:proofErr w:type="gramStart"/>
            <w:r w:rsidRPr="004F5110">
              <w:rPr>
                <w:sz w:val="20"/>
                <w:szCs w:val="20"/>
              </w:rPr>
              <w:lastRenderedPageBreak/>
              <w:t>verplichting</w:t>
            </w:r>
            <w:proofErr w:type="gramEnd"/>
            <w:r w:rsidRPr="004F5110">
              <w:rPr>
                <w:sz w:val="20"/>
                <w:szCs w:val="20"/>
              </w:rPr>
              <w:t xml:space="preserve"> om een afzonderlijke urenregistratie per medewerker bij te houden.</w:t>
            </w:r>
            <w:r w:rsidR="00DD6D4C" w:rsidRPr="004F5110">
              <w:rPr>
                <w:sz w:val="20"/>
                <w:szCs w:val="20"/>
              </w:rPr>
              <w:t xml:space="preserve"> De medewerker moet in loondienst zijn bij de participerende rechtspersoon en ten</w:t>
            </w:r>
            <w:r w:rsidR="00DD6D4C">
              <w:rPr>
                <w:sz w:val="20"/>
                <w:szCs w:val="20"/>
              </w:rPr>
              <w:t xml:space="preserve"> </w:t>
            </w:r>
            <w:r w:rsidR="00DD6D4C" w:rsidRPr="004F5110">
              <w:rPr>
                <w:sz w:val="20"/>
                <w:szCs w:val="20"/>
              </w:rPr>
              <w:t>minste het wettelijke loon ontvangen.</w:t>
            </w:r>
          </w:p>
        </w:tc>
      </w:tr>
    </w:tbl>
    <w:p w14:paraId="41A7A17D" w14:textId="77777777" w:rsidR="003511EC" w:rsidRDefault="003511EC" w:rsidP="008B7B5A">
      <w:pPr>
        <w:pStyle w:val="Geenafstand"/>
        <w:jc w:val="both"/>
      </w:pPr>
    </w:p>
    <w:p w14:paraId="1C5BC14E" w14:textId="26571BBC" w:rsidR="005D13AF" w:rsidRDefault="00775D46" w:rsidP="008A0673">
      <w:pPr>
        <w:pStyle w:val="Geenafstand"/>
        <w:jc w:val="both"/>
        <w:rPr>
          <w:sz w:val="20"/>
          <w:szCs w:val="20"/>
        </w:rPr>
      </w:pPr>
      <w:proofErr w:type="gramStart"/>
      <w:r w:rsidRPr="008D0934">
        <w:rPr>
          <w:sz w:val="20"/>
          <w:szCs w:val="20"/>
        </w:rPr>
        <w:t>Conform</w:t>
      </w:r>
      <w:proofErr w:type="gramEnd"/>
      <w:r w:rsidRPr="008D0934">
        <w:rPr>
          <w:sz w:val="20"/>
          <w:szCs w:val="20"/>
        </w:rPr>
        <w:t xml:space="preserve"> de meest recente versie van de REES</w:t>
      </w:r>
      <w:r w:rsidR="00030D3E" w:rsidRPr="008D0934">
        <w:rPr>
          <w:sz w:val="20"/>
          <w:szCs w:val="20"/>
        </w:rPr>
        <w:t xml:space="preserve"> 2022 </w:t>
      </w:r>
      <w:r w:rsidR="002C509A" w:rsidRPr="008D0934">
        <w:rPr>
          <w:sz w:val="20"/>
          <w:szCs w:val="20"/>
        </w:rPr>
        <w:t>zijn diverse combinaties van kostensoorten niet mogelijk. Onderstaand schema geeft een overzicht van de combinaties die wel en niet zijn toegestaan.</w:t>
      </w:r>
    </w:p>
    <w:p w14:paraId="7EDC9846" w14:textId="77777777" w:rsidR="0048392D" w:rsidRPr="008A0673" w:rsidRDefault="0048392D" w:rsidP="008A0673">
      <w:pPr>
        <w:pStyle w:val="Geenafstand"/>
        <w:jc w:val="both"/>
        <w:rPr>
          <w:sz w:val="20"/>
          <w:szCs w:val="20"/>
        </w:rPr>
      </w:pPr>
    </w:p>
    <w:p w14:paraId="77362C45" w14:textId="26C473F9" w:rsidR="005D13AF" w:rsidRPr="003B7241" w:rsidRDefault="0048392D" w:rsidP="003B7241">
      <w:pPr>
        <w:jc w:val="center"/>
        <w:rPr>
          <w:b/>
          <w:bCs/>
        </w:rPr>
      </w:pPr>
      <w:r w:rsidRPr="0048392D">
        <w:drawing>
          <wp:inline distT="0" distB="0" distL="0" distR="0" wp14:anchorId="3EA9F92F" wp14:editId="5036AFF2">
            <wp:extent cx="8892540" cy="2359660"/>
            <wp:effectExtent l="0" t="0" r="3810" b="2540"/>
            <wp:docPr id="8219402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2540" cy="2359660"/>
                    </a:xfrm>
                    <a:prstGeom prst="rect">
                      <a:avLst/>
                    </a:prstGeom>
                    <a:noFill/>
                    <a:ln>
                      <a:noFill/>
                    </a:ln>
                  </pic:spPr>
                </pic:pic>
              </a:graphicData>
            </a:graphic>
          </wp:inline>
        </w:drawing>
      </w:r>
    </w:p>
    <w:p w14:paraId="05229124" w14:textId="48C8DA90" w:rsidR="00B66625" w:rsidRPr="008D0934" w:rsidRDefault="002C509A" w:rsidP="008B7B5A">
      <w:pPr>
        <w:pStyle w:val="Geenafstand"/>
        <w:jc w:val="both"/>
        <w:rPr>
          <w:sz w:val="20"/>
          <w:szCs w:val="20"/>
        </w:rPr>
      </w:pPr>
      <w:r w:rsidRPr="008D0934">
        <w:rPr>
          <w:sz w:val="20"/>
          <w:szCs w:val="20"/>
        </w:rPr>
        <w:t xml:space="preserve">Daarnaast schrijft de REES voor dat bepaalde kostensoorten door het gehele consortium moeten worden gehanteerd. De voorgeschreven mogelijke combinaties en de verplichting om als consortium bepaalde kostensoorten te hanteren, leiden tot drie opties </w:t>
      </w:r>
      <w:r w:rsidR="001C6CF2" w:rsidRPr="008D0934">
        <w:rPr>
          <w:sz w:val="20"/>
          <w:szCs w:val="20"/>
        </w:rPr>
        <w:t xml:space="preserve">voor het begroten en verantwoorden van kosten, </w:t>
      </w:r>
      <w:r w:rsidRPr="008D0934">
        <w:rPr>
          <w:sz w:val="20"/>
          <w:szCs w:val="20"/>
        </w:rPr>
        <w:t>waar op projectniveau voor kan worden gekozen.</w:t>
      </w:r>
    </w:p>
    <w:p w14:paraId="5C75ACBD" w14:textId="77777777" w:rsidR="005271A7" w:rsidRPr="008D0934" w:rsidRDefault="005271A7" w:rsidP="008B7B5A">
      <w:pPr>
        <w:pStyle w:val="Geenafstand"/>
        <w:jc w:val="both"/>
        <w:rPr>
          <w:sz w:val="20"/>
          <w:szCs w:val="20"/>
        </w:rPr>
      </w:pPr>
    </w:p>
    <w:p w14:paraId="4252C646" w14:textId="44506A6A" w:rsidR="005D13AF" w:rsidRPr="008D0934" w:rsidRDefault="008B7B5A" w:rsidP="008B7B5A">
      <w:pPr>
        <w:pStyle w:val="Geenafstand"/>
        <w:numPr>
          <w:ilvl w:val="0"/>
          <w:numId w:val="2"/>
        </w:numPr>
        <w:jc w:val="both"/>
        <w:rPr>
          <w:sz w:val="20"/>
          <w:szCs w:val="20"/>
        </w:rPr>
      </w:pPr>
      <w:r w:rsidRPr="008D0934">
        <w:rPr>
          <w:sz w:val="20"/>
          <w:szCs w:val="20"/>
        </w:rPr>
        <w:t xml:space="preserve">Alle partners begroten </w:t>
      </w:r>
      <w:r w:rsidR="005271A7" w:rsidRPr="008D0934">
        <w:rPr>
          <w:sz w:val="20"/>
          <w:szCs w:val="20"/>
        </w:rPr>
        <w:t xml:space="preserve">en verantwoorden </w:t>
      </w:r>
      <w:r w:rsidRPr="008D0934">
        <w:rPr>
          <w:sz w:val="20"/>
          <w:szCs w:val="20"/>
        </w:rPr>
        <w:t xml:space="preserve">de kostensoorten onder loonkosten en/of overige directe kosten als </w:t>
      </w:r>
      <w:r w:rsidR="005271A7" w:rsidRPr="008D0934">
        <w:rPr>
          <w:sz w:val="20"/>
          <w:szCs w:val="20"/>
        </w:rPr>
        <w:t>aparte kostensoorten</w:t>
      </w:r>
    </w:p>
    <w:p w14:paraId="5C0F4923" w14:textId="163A021F" w:rsidR="003B7241" w:rsidRPr="008D0934" w:rsidRDefault="003B7241" w:rsidP="003511EC">
      <w:pPr>
        <w:pStyle w:val="Geenafstand"/>
        <w:numPr>
          <w:ilvl w:val="0"/>
          <w:numId w:val="3"/>
        </w:numPr>
        <w:jc w:val="both"/>
        <w:rPr>
          <w:sz w:val="20"/>
          <w:szCs w:val="20"/>
        </w:rPr>
      </w:pPr>
      <w:r w:rsidRPr="008D0934">
        <w:rPr>
          <w:sz w:val="20"/>
          <w:szCs w:val="20"/>
        </w:rPr>
        <w:t xml:space="preserve">Te hanteren kostensoorten: </w:t>
      </w:r>
      <w:r w:rsidR="003511EC" w:rsidRPr="008D0934">
        <w:rPr>
          <w:sz w:val="20"/>
          <w:szCs w:val="20"/>
        </w:rPr>
        <w:t xml:space="preserve">Uurtarief € </w:t>
      </w:r>
      <w:r w:rsidR="0048392D">
        <w:rPr>
          <w:sz w:val="20"/>
          <w:szCs w:val="20"/>
        </w:rPr>
        <w:t>60</w:t>
      </w:r>
      <w:r w:rsidR="003511EC" w:rsidRPr="008D0934">
        <w:rPr>
          <w:sz w:val="20"/>
          <w:szCs w:val="20"/>
        </w:rPr>
        <w:t xml:space="preserve">, Maandbedrag € </w:t>
      </w:r>
      <w:r w:rsidR="0048392D">
        <w:rPr>
          <w:sz w:val="20"/>
          <w:szCs w:val="20"/>
        </w:rPr>
        <w:t>8.600</w:t>
      </w:r>
      <w:r w:rsidR="003511EC" w:rsidRPr="008D0934">
        <w:rPr>
          <w:sz w:val="20"/>
          <w:szCs w:val="20"/>
        </w:rPr>
        <w:t>, IKS voor kennisinstellingen (indien kennisinstelling), Afschrijvingskosten, Bijdragen in natura, Overige kosten derden, Forfait kleine uitgaven &lt; € 250 (1% overige kosten derden)</w:t>
      </w:r>
      <w:r w:rsidR="003511EC" w:rsidRPr="008D0934">
        <w:rPr>
          <w:sz w:val="20"/>
          <w:szCs w:val="20"/>
        </w:rPr>
        <w:tab/>
      </w:r>
    </w:p>
    <w:p w14:paraId="63BA9420" w14:textId="59FA867C" w:rsidR="005271A7" w:rsidRPr="008D0934" w:rsidRDefault="005271A7" w:rsidP="008B7B5A">
      <w:pPr>
        <w:pStyle w:val="Geenafstand"/>
        <w:numPr>
          <w:ilvl w:val="0"/>
          <w:numId w:val="2"/>
        </w:numPr>
        <w:jc w:val="both"/>
        <w:rPr>
          <w:sz w:val="20"/>
          <w:szCs w:val="20"/>
        </w:rPr>
      </w:pPr>
      <w:r w:rsidRPr="008D0934">
        <w:rPr>
          <w:sz w:val="20"/>
          <w:szCs w:val="20"/>
        </w:rPr>
        <w:t xml:space="preserve">Alle partners begroten en verantwoorden de loonkosten als forfait van 23% over de overige directe kosten </w:t>
      </w:r>
    </w:p>
    <w:p w14:paraId="7B063AA1" w14:textId="3C54237E" w:rsidR="003B7241" w:rsidRPr="008D0934" w:rsidRDefault="003B7241" w:rsidP="00D17D02">
      <w:pPr>
        <w:pStyle w:val="Geenafstand"/>
        <w:numPr>
          <w:ilvl w:val="0"/>
          <w:numId w:val="3"/>
        </w:numPr>
        <w:jc w:val="both"/>
        <w:rPr>
          <w:sz w:val="20"/>
          <w:szCs w:val="20"/>
        </w:rPr>
      </w:pPr>
      <w:r w:rsidRPr="008D0934">
        <w:rPr>
          <w:sz w:val="20"/>
          <w:szCs w:val="20"/>
        </w:rPr>
        <w:t>Te hanteren kostensoorten:</w:t>
      </w:r>
      <w:r w:rsidR="003511EC" w:rsidRPr="008D0934">
        <w:rPr>
          <w:sz w:val="20"/>
          <w:szCs w:val="20"/>
        </w:rPr>
        <w:t xml:space="preserve"> Forfait 23% over overige directe kosten, Afschrijvingskosten, Bijdragen in natura, Overige kosten derden, Forfait kleine uitgaven &lt; € 250 (1% overige kosten derden)</w:t>
      </w:r>
      <w:r w:rsidR="003511EC" w:rsidRPr="008D0934">
        <w:rPr>
          <w:sz w:val="20"/>
          <w:szCs w:val="20"/>
        </w:rPr>
        <w:tab/>
      </w:r>
    </w:p>
    <w:p w14:paraId="2729C254" w14:textId="72F3DA99" w:rsidR="005271A7" w:rsidRPr="008D0934" w:rsidRDefault="005271A7" w:rsidP="008B7B5A">
      <w:pPr>
        <w:pStyle w:val="Geenafstand"/>
        <w:numPr>
          <w:ilvl w:val="0"/>
          <w:numId w:val="2"/>
        </w:numPr>
        <w:jc w:val="both"/>
        <w:rPr>
          <w:sz w:val="20"/>
          <w:szCs w:val="20"/>
        </w:rPr>
      </w:pPr>
      <w:r w:rsidRPr="008D0934">
        <w:rPr>
          <w:sz w:val="20"/>
          <w:szCs w:val="20"/>
        </w:rPr>
        <w:t>Alle partners begroten en verantwoorden alle projectkosten via een all-in uurtarief of maandbedrag</w:t>
      </w:r>
    </w:p>
    <w:p w14:paraId="5438BA83" w14:textId="7A13C411" w:rsidR="003B7241" w:rsidRPr="008D0934" w:rsidRDefault="003B7241" w:rsidP="00E2565A">
      <w:pPr>
        <w:pStyle w:val="Geenafstand"/>
        <w:numPr>
          <w:ilvl w:val="0"/>
          <w:numId w:val="3"/>
        </w:numPr>
        <w:jc w:val="both"/>
        <w:rPr>
          <w:sz w:val="20"/>
          <w:szCs w:val="20"/>
        </w:rPr>
      </w:pPr>
      <w:r w:rsidRPr="008D0934">
        <w:rPr>
          <w:sz w:val="20"/>
          <w:szCs w:val="20"/>
        </w:rPr>
        <w:t>Te hanteren kostensoorten:</w:t>
      </w:r>
      <w:r w:rsidR="00E2565A" w:rsidRPr="008D0934">
        <w:rPr>
          <w:sz w:val="20"/>
          <w:szCs w:val="20"/>
        </w:rPr>
        <w:t xml:space="preserve"> Uurtarief € </w:t>
      </w:r>
      <w:r w:rsidR="0048392D">
        <w:rPr>
          <w:sz w:val="20"/>
          <w:szCs w:val="20"/>
        </w:rPr>
        <w:t>73</w:t>
      </w:r>
      <w:r w:rsidR="00E2565A" w:rsidRPr="008D0934">
        <w:rPr>
          <w:sz w:val="20"/>
          <w:szCs w:val="20"/>
        </w:rPr>
        <w:t xml:space="preserve">, Maandbedrag € </w:t>
      </w:r>
      <w:r w:rsidR="0048392D">
        <w:rPr>
          <w:sz w:val="20"/>
          <w:szCs w:val="20"/>
        </w:rPr>
        <w:t>10.400</w:t>
      </w:r>
      <w:r w:rsidR="00E2565A" w:rsidRPr="008D0934">
        <w:rPr>
          <w:sz w:val="20"/>
          <w:szCs w:val="20"/>
        </w:rPr>
        <w:t>, IKS voor kennisinstelling (indien kennisinstelling)</w:t>
      </w:r>
    </w:p>
    <w:p w14:paraId="792C6340" w14:textId="77777777" w:rsidR="005D13AF" w:rsidRDefault="005D13AF" w:rsidP="008B7B5A">
      <w:pPr>
        <w:pStyle w:val="Geenafstand"/>
        <w:jc w:val="both"/>
      </w:pPr>
    </w:p>
    <w:p w14:paraId="61FBAE55" w14:textId="19BCAC51" w:rsidR="003B7241" w:rsidRPr="008D0934" w:rsidRDefault="001C6CF2" w:rsidP="003B7241">
      <w:pPr>
        <w:pStyle w:val="Geenafstand"/>
        <w:jc w:val="both"/>
        <w:rPr>
          <w:sz w:val="20"/>
          <w:szCs w:val="20"/>
        </w:rPr>
      </w:pPr>
      <w:r w:rsidRPr="008D0934">
        <w:rPr>
          <w:sz w:val="20"/>
          <w:szCs w:val="20"/>
        </w:rPr>
        <w:lastRenderedPageBreak/>
        <w:t>De optiekeuze heeft invloed op de kostensoorten die de projectpartners kunnen hanteren</w:t>
      </w:r>
      <w:r w:rsidR="007A504C" w:rsidRPr="008D0934">
        <w:rPr>
          <w:sz w:val="20"/>
          <w:szCs w:val="20"/>
        </w:rPr>
        <w:t xml:space="preserve"> en is dus van toepassing op elke partner in het consortium</w:t>
      </w:r>
      <w:r w:rsidRPr="008D0934">
        <w:rPr>
          <w:sz w:val="20"/>
          <w:szCs w:val="20"/>
        </w:rPr>
        <w:t xml:space="preserve">. Optie 1 is de methode van het apart begroten en verantwoorden van loonkosten en overige directe kosten (afschrijvingskosten, bijdragen in natura, overige kosten derden) en kan altijd worden gekozen. Als alle partners in </w:t>
      </w:r>
      <w:r w:rsidR="007A504C" w:rsidRPr="008D0934">
        <w:rPr>
          <w:sz w:val="20"/>
          <w:szCs w:val="20"/>
        </w:rPr>
        <w:t>een</w:t>
      </w:r>
      <w:r w:rsidRPr="008D0934">
        <w:rPr>
          <w:sz w:val="20"/>
          <w:szCs w:val="20"/>
        </w:rPr>
        <w:t xml:space="preserve"> project zowel loonkosten als overige kosten verwachten te maken, </w:t>
      </w:r>
      <w:r w:rsidR="007A504C" w:rsidRPr="008D0934">
        <w:rPr>
          <w:sz w:val="20"/>
          <w:szCs w:val="20"/>
        </w:rPr>
        <w:t>kunnen aanvragers ook kiezen</w:t>
      </w:r>
      <w:r w:rsidRPr="008D0934">
        <w:rPr>
          <w:sz w:val="20"/>
          <w:szCs w:val="20"/>
        </w:rPr>
        <w:t xml:space="preserve"> uit de opties 2 en 3. Bij optie 2 worden de loonkosten begroot als forfait van 23% van de overige directe kosten. Het apart begroten en verantwoorden van loonkosten is daarmee niet</w:t>
      </w:r>
      <w:r w:rsidR="00EC087E" w:rsidRPr="008D0934">
        <w:rPr>
          <w:sz w:val="20"/>
          <w:szCs w:val="20"/>
        </w:rPr>
        <w:t xml:space="preserve"> toegestaan</w:t>
      </w:r>
      <w:r w:rsidRPr="008D0934">
        <w:rPr>
          <w:sz w:val="20"/>
          <w:szCs w:val="20"/>
        </w:rPr>
        <w:t>. Bij optie 3 worden de loonkosten en overige directe kosten gecombineerd begroot en verdisconteerd in een uurtarief/maandbedrag. Het apart begroten en verantwoorden van overige directe kosten is daarmee</w:t>
      </w:r>
      <w:r w:rsidR="007A504C" w:rsidRPr="008D0934">
        <w:rPr>
          <w:sz w:val="20"/>
          <w:szCs w:val="20"/>
        </w:rPr>
        <w:t xml:space="preserve"> </w:t>
      </w:r>
      <w:r w:rsidRPr="008D0934">
        <w:rPr>
          <w:sz w:val="20"/>
          <w:szCs w:val="20"/>
        </w:rPr>
        <w:t xml:space="preserve">niet </w:t>
      </w:r>
      <w:r w:rsidR="00EC087E" w:rsidRPr="008D0934">
        <w:rPr>
          <w:sz w:val="20"/>
          <w:szCs w:val="20"/>
        </w:rPr>
        <w:t>toegestaan</w:t>
      </w:r>
      <w:r w:rsidRPr="008D0934">
        <w:rPr>
          <w:sz w:val="20"/>
          <w:szCs w:val="20"/>
        </w:rPr>
        <w:t>.</w:t>
      </w:r>
      <w:r w:rsidR="003511EC" w:rsidRPr="008D0934">
        <w:rPr>
          <w:sz w:val="20"/>
          <w:szCs w:val="20"/>
        </w:rPr>
        <w:t xml:space="preserve"> </w:t>
      </w:r>
      <w:r w:rsidR="003B7241" w:rsidRPr="008D0934">
        <w:rPr>
          <w:sz w:val="20"/>
          <w:szCs w:val="20"/>
        </w:rPr>
        <w:t>De genoemde opties en de gevolgen van de keuze voor een optie voor de te hanteren kostensoorten op projectniveau, zijn verwerkt in het begrotingsformat.</w:t>
      </w:r>
      <w:r w:rsidRPr="008D0934">
        <w:rPr>
          <w:sz w:val="20"/>
          <w:szCs w:val="20"/>
        </w:rPr>
        <w:t xml:space="preserve"> </w:t>
      </w:r>
      <w:r w:rsidR="008A0673" w:rsidRPr="008A0673">
        <w:rPr>
          <w:sz w:val="20"/>
          <w:szCs w:val="20"/>
        </w:rPr>
        <w:t xml:space="preserve">Het kan zijn dat er in </w:t>
      </w:r>
      <w:r w:rsidR="008A0673">
        <w:rPr>
          <w:sz w:val="20"/>
          <w:szCs w:val="20"/>
        </w:rPr>
        <w:t>een specifieke</w:t>
      </w:r>
      <w:r w:rsidR="008A0673" w:rsidRPr="008A0673">
        <w:rPr>
          <w:sz w:val="20"/>
          <w:szCs w:val="20"/>
        </w:rPr>
        <w:t xml:space="preserve"> call bepaald wordt dat bepaalde opties wel/niet mogen worden gebruikt voor de bepaling van de subsidiabele kosten.</w:t>
      </w:r>
    </w:p>
    <w:sectPr w:rsidR="003B7241" w:rsidRPr="008D0934" w:rsidSect="004E1389">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2486E" w14:textId="77777777" w:rsidR="00B44BD4" w:rsidRDefault="00B44BD4" w:rsidP="00920A85">
      <w:pPr>
        <w:spacing w:after="0" w:line="240" w:lineRule="auto"/>
      </w:pPr>
      <w:r>
        <w:separator/>
      </w:r>
    </w:p>
  </w:endnote>
  <w:endnote w:type="continuationSeparator" w:id="0">
    <w:p w14:paraId="3B7A291D" w14:textId="77777777" w:rsidR="00B44BD4" w:rsidRDefault="00B44BD4" w:rsidP="00920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cogoose Pro">
    <w:panose1 w:val="02000503020000020004"/>
    <w:charset w:val="00"/>
    <w:family w:val="modern"/>
    <w:notTrueType/>
    <w:pitch w:val="variable"/>
    <w:sig w:usb0="A00002A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171499"/>
      <w:docPartObj>
        <w:docPartGallery w:val="Page Numbers (Bottom of Page)"/>
        <w:docPartUnique/>
      </w:docPartObj>
    </w:sdtPr>
    <w:sdtEndPr/>
    <w:sdtContent>
      <w:p w14:paraId="2CFEE45E" w14:textId="6E95362A" w:rsidR="00920A85" w:rsidRDefault="005B6D21">
        <w:pPr>
          <w:pStyle w:val="Voettekst"/>
          <w:jc w:val="right"/>
        </w:pPr>
        <w:r>
          <w:rPr>
            <w:noProof/>
          </w:rPr>
          <w:drawing>
            <wp:anchor distT="0" distB="0" distL="114300" distR="114300" simplePos="0" relativeHeight="251659264" behindDoc="1" locked="0" layoutInCell="1" allowOverlap="1" wp14:anchorId="681899EA" wp14:editId="238251E9">
              <wp:simplePos x="0" y="0"/>
              <wp:positionH relativeFrom="column">
                <wp:posOffset>8044180</wp:posOffset>
              </wp:positionH>
              <wp:positionV relativeFrom="paragraph">
                <wp:posOffset>126365</wp:posOffset>
              </wp:positionV>
              <wp:extent cx="1013460" cy="523875"/>
              <wp:effectExtent l="0" t="0" r="0" b="9525"/>
              <wp:wrapTight wrapText="bothSides">
                <wp:wrapPolygon edited="0">
                  <wp:start x="3654" y="0"/>
                  <wp:lineTo x="2436" y="3142"/>
                  <wp:lineTo x="406" y="11782"/>
                  <wp:lineTo x="0" y="14138"/>
                  <wp:lineTo x="0" y="19636"/>
                  <wp:lineTo x="4060" y="21207"/>
                  <wp:lineTo x="7308" y="21207"/>
                  <wp:lineTo x="21113" y="20422"/>
                  <wp:lineTo x="21113" y="15709"/>
                  <wp:lineTo x="18677" y="12567"/>
                  <wp:lineTo x="19083" y="9425"/>
                  <wp:lineTo x="16647" y="6284"/>
                  <wp:lineTo x="9338" y="0"/>
                  <wp:lineTo x="3654" y="0"/>
                </wp:wrapPolygon>
              </wp:wrapTight>
              <wp:docPr id="3" name="Afbeelding 3" descr="Logo SNN Samenwerkingsverband Noord-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Logo SNN Samenwerkingsverband Noord-Nederland"/>
                      <pic:cNvPicPr/>
                    </pic:nvPicPr>
                    <pic:blipFill>
                      <a:blip r:embed="rId1">
                        <a:extLst>
                          <a:ext uri="{28A0092B-C50C-407E-A947-70E740481C1C}">
                            <a14:useLocalDpi xmlns:a14="http://schemas.microsoft.com/office/drawing/2010/main" val="0"/>
                          </a:ext>
                        </a:extLst>
                      </a:blip>
                      <a:stretch>
                        <a:fillRect/>
                      </a:stretch>
                    </pic:blipFill>
                    <pic:spPr>
                      <a:xfrm>
                        <a:off x="0" y="0"/>
                        <a:ext cx="1013460" cy="523875"/>
                      </a:xfrm>
                      <a:prstGeom prst="rect">
                        <a:avLst/>
                      </a:prstGeom>
                    </pic:spPr>
                  </pic:pic>
                </a:graphicData>
              </a:graphic>
            </wp:anchor>
          </w:drawing>
        </w:r>
        <w:r w:rsidR="00920A85">
          <w:fldChar w:fldCharType="begin"/>
        </w:r>
        <w:r w:rsidR="00920A85">
          <w:instrText>PAGE   \* MERGEFORMAT</w:instrText>
        </w:r>
        <w:r w:rsidR="00920A85">
          <w:fldChar w:fldCharType="separate"/>
        </w:r>
        <w:r w:rsidR="00920A85">
          <w:t>2</w:t>
        </w:r>
        <w:r w:rsidR="00920A85">
          <w:fldChar w:fldCharType="end"/>
        </w:r>
      </w:p>
    </w:sdtContent>
  </w:sdt>
  <w:p w14:paraId="2FE220B3" w14:textId="5CD83C7C" w:rsidR="00920A85" w:rsidRDefault="008D0934">
    <w:pPr>
      <w:pStyle w:val="Voettekst"/>
    </w:pPr>
    <w:r>
      <w:rPr>
        <w:noProof/>
      </w:rPr>
      <w:drawing>
        <wp:anchor distT="0" distB="0" distL="114300" distR="114300" simplePos="0" relativeHeight="251658240" behindDoc="0" locked="0" layoutInCell="1" allowOverlap="1" wp14:anchorId="427F7FF6" wp14:editId="20A3D684">
          <wp:simplePos x="0" y="0"/>
          <wp:positionH relativeFrom="column">
            <wp:posOffset>5843905</wp:posOffset>
          </wp:positionH>
          <wp:positionV relativeFrom="paragraph">
            <wp:posOffset>78125</wp:posOffset>
          </wp:positionV>
          <wp:extent cx="1752716" cy="304800"/>
          <wp:effectExtent l="0" t="0" r="0" b="0"/>
          <wp:wrapThrough wrapText="bothSides">
            <wp:wrapPolygon edited="0">
              <wp:start x="0" y="0"/>
              <wp:lineTo x="0" y="20250"/>
              <wp:lineTo x="21365" y="20250"/>
              <wp:lineTo x="21365" y="0"/>
              <wp:lineTo x="0" y="0"/>
            </wp:wrapPolygon>
          </wp:wrapThrough>
          <wp:docPr id="1" name="Afbeelding 1" descr="Logo Europese Unie: Medegefinancieerd door de Europese U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Europese Unie: Medegefinancieerd door de Europese Unie"/>
                  <pic:cNvPicPr/>
                </pic:nvPicPr>
                <pic:blipFill rotWithShape="1">
                  <a:blip r:embed="rId2">
                    <a:extLst>
                      <a:ext uri="{28A0092B-C50C-407E-A947-70E740481C1C}">
                        <a14:useLocalDpi xmlns:a14="http://schemas.microsoft.com/office/drawing/2010/main" val="0"/>
                      </a:ext>
                    </a:extLst>
                  </a:blip>
                  <a:srcRect l="858" t="16927" r="45483" b="66483"/>
                  <a:stretch/>
                </pic:blipFill>
                <pic:spPr bwMode="auto">
                  <a:xfrm>
                    <a:off x="0" y="0"/>
                    <a:ext cx="1752716" cy="30480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24C8" w14:textId="77777777" w:rsidR="00B44BD4" w:rsidRDefault="00B44BD4" w:rsidP="00920A85">
      <w:pPr>
        <w:spacing w:after="0" w:line="240" w:lineRule="auto"/>
      </w:pPr>
      <w:r>
        <w:separator/>
      </w:r>
    </w:p>
  </w:footnote>
  <w:footnote w:type="continuationSeparator" w:id="0">
    <w:p w14:paraId="72DFDAE0" w14:textId="77777777" w:rsidR="00B44BD4" w:rsidRDefault="00B44BD4" w:rsidP="00920A85">
      <w:pPr>
        <w:spacing w:after="0" w:line="240" w:lineRule="auto"/>
      </w:pPr>
      <w:r>
        <w:continuationSeparator/>
      </w:r>
    </w:p>
  </w:footnote>
  <w:footnote w:id="1">
    <w:p w14:paraId="07D72978" w14:textId="3B62A368" w:rsidR="00920A85" w:rsidRPr="008D0934" w:rsidRDefault="00920A85">
      <w:pPr>
        <w:pStyle w:val="Voetnoottekst"/>
        <w:rPr>
          <w:sz w:val="18"/>
          <w:szCs w:val="18"/>
        </w:rPr>
      </w:pPr>
      <w:r w:rsidRPr="008D0934">
        <w:rPr>
          <w:rStyle w:val="Voetnootmarkering"/>
          <w:sz w:val="18"/>
          <w:szCs w:val="18"/>
        </w:rPr>
        <w:footnoteRef/>
      </w:r>
      <w:r w:rsidRPr="008D0934">
        <w:rPr>
          <w:sz w:val="18"/>
          <w:szCs w:val="18"/>
        </w:rPr>
        <w:t xml:space="preserve"> Let op: hier kunnen geen rechten aan worden ontleend. De subsidiabiliteit van kosten wordt bepaald in de Europese en nationale regelgeving.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23AD"/>
    <w:multiLevelType w:val="hybridMultilevel"/>
    <w:tmpl w:val="D708FF8E"/>
    <w:lvl w:ilvl="0" w:tplc="811456F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8B24AA"/>
    <w:multiLevelType w:val="hybridMultilevel"/>
    <w:tmpl w:val="80AE17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3E1DD4"/>
    <w:multiLevelType w:val="hybridMultilevel"/>
    <w:tmpl w:val="4F20E20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39F76EF5"/>
    <w:multiLevelType w:val="hybridMultilevel"/>
    <w:tmpl w:val="DF880D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50764130">
    <w:abstractNumId w:val="3"/>
  </w:num>
  <w:num w:numId="2" w16cid:durableId="1414543810">
    <w:abstractNumId w:val="1"/>
  </w:num>
  <w:num w:numId="3" w16cid:durableId="1988508439">
    <w:abstractNumId w:val="2"/>
  </w:num>
  <w:num w:numId="4" w16cid:durableId="159111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09"/>
    <w:rsid w:val="00030D3E"/>
    <w:rsid w:val="00091BA8"/>
    <w:rsid w:val="001868DA"/>
    <w:rsid w:val="001A424E"/>
    <w:rsid w:val="001C6CF2"/>
    <w:rsid w:val="002C509A"/>
    <w:rsid w:val="003511EC"/>
    <w:rsid w:val="003B7241"/>
    <w:rsid w:val="003C5117"/>
    <w:rsid w:val="0048392D"/>
    <w:rsid w:val="004E1389"/>
    <w:rsid w:val="004E5724"/>
    <w:rsid w:val="004F5110"/>
    <w:rsid w:val="005271A7"/>
    <w:rsid w:val="00570242"/>
    <w:rsid w:val="00570A11"/>
    <w:rsid w:val="005B6D21"/>
    <w:rsid w:val="005D13AF"/>
    <w:rsid w:val="007116A5"/>
    <w:rsid w:val="00775D46"/>
    <w:rsid w:val="00782D0D"/>
    <w:rsid w:val="007A504C"/>
    <w:rsid w:val="00891AFE"/>
    <w:rsid w:val="008A0673"/>
    <w:rsid w:val="008B7B5A"/>
    <w:rsid w:val="008D0934"/>
    <w:rsid w:val="00920A85"/>
    <w:rsid w:val="009405AB"/>
    <w:rsid w:val="009423A2"/>
    <w:rsid w:val="00983F62"/>
    <w:rsid w:val="009B03B4"/>
    <w:rsid w:val="009B28DB"/>
    <w:rsid w:val="00A2676C"/>
    <w:rsid w:val="00B44BD4"/>
    <w:rsid w:val="00B66625"/>
    <w:rsid w:val="00C308DF"/>
    <w:rsid w:val="00C405E4"/>
    <w:rsid w:val="00C5198C"/>
    <w:rsid w:val="00CF0B09"/>
    <w:rsid w:val="00DD6D4C"/>
    <w:rsid w:val="00E004B0"/>
    <w:rsid w:val="00E2565A"/>
    <w:rsid w:val="00EC087E"/>
    <w:rsid w:val="00EE4214"/>
    <w:rsid w:val="00F71A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587BA"/>
  <w15:chartTrackingRefBased/>
  <w15:docId w15:val="{8739579D-E749-44EB-AAA5-35DDB3BC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E1389"/>
    <w:pPr>
      <w:spacing w:after="200" w:line="276" w:lineRule="auto"/>
      <w:ind w:left="720"/>
      <w:contextualSpacing/>
    </w:pPr>
  </w:style>
  <w:style w:type="table" w:styleId="Tabelraster">
    <w:name w:val="Table Grid"/>
    <w:basedOn w:val="Standaardtabel"/>
    <w:uiPriority w:val="39"/>
    <w:rsid w:val="00C30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5D13AF"/>
    <w:pPr>
      <w:spacing w:after="0" w:line="240" w:lineRule="auto"/>
    </w:pPr>
  </w:style>
  <w:style w:type="paragraph" w:styleId="Koptekst">
    <w:name w:val="header"/>
    <w:basedOn w:val="Standaard"/>
    <w:link w:val="KoptekstChar"/>
    <w:uiPriority w:val="99"/>
    <w:unhideWhenUsed/>
    <w:rsid w:val="00920A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0A85"/>
  </w:style>
  <w:style w:type="paragraph" w:styleId="Voettekst">
    <w:name w:val="footer"/>
    <w:basedOn w:val="Standaard"/>
    <w:link w:val="VoettekstChar"/>
    <w:uiPriority w:val="99"/>
    <w:unhideWhenUsed/>
    <w:rsid w:val="00920A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0A85"/>
  </w:style>
  <w:style w:type="paragraph" w:styleId="Voetnoottekst">
    <w:name w:val="footnote text"/>
    <w:basedOn w:val="Standaard"/>
    <w:link w:val="VoetnoottekstChar"/>
    <w:uiPriority w:val="99"/>
    <w:semiHidden/>
    <w:unhideWhenUsed/>
    <w:rsid w:val="00920A8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20A85"/>
    <w:rPr>
      <w:sz w:val="20"/>
      <w:szCs w:val="20"/>
    </w:rPr>
  </w:style>
  <w:style w:type="character" w:styleId="Voetnootmarkering">
    <w:name w:val="footnote reference"/>
    <w:basedOn w:val="Standaardalinea-lettertype"/>
    <w:uiPriority w:val="99"/>
    <w:semiHidden/>
    <w:unhideWhenUsed/>
    <w:rsid w:val="00920A85"/>
    <w:rPr>
      <w:vertAlign w:val="superscript"/>
    </w:rPr>
  </w:style>
  <w:style w:type="paragraph" w:styleId="Revisie">
    <w:name w:val="Revision"/>
    <w:hidden/>
    <w:uiPriority w:val="99"/>
    <w:semiHidden/>
    <w:rsid w:val="009423A2"/>
    <w:pPr>
      <w:spacing w:after="0" w:line="240" w:lineRule="auto"/>
    </w:pPr>
  </w:style>
  <w:style w:type="character" w:styleId="Verwijzingopmerking">
    <w:name w:val="annotation reference"/>
    <w:basedOn w:val="Standaardalinea-lettertype"/>
    <w:uiPriority w:val="99"/>
    <w:semiHidden/>
    <w:unhideWhenUsed/>
    <w:rsid w:val="003C5117"/>
    <w:rPr>
      <w:sz w:val="16"/>
      <w:szCs w:val="16"/>
    </w:rPr>
  </w:style>
  <w:style w:type="paragraph" w:styleId="Tekstopmerking">
    <w:name w:val="annotation text"/>
    <w:basedOn w:val="Standaard"/>
    <w:link w:val="TekstopmerkingChar"/>
    <w:uiPriority w:val="99"/>
    <w:unhideWhenUsed/>
    <w:rsid w:val="003C5117"/>
    <w:pPr>
      <w:spacing w:line="240" w:lineRule="auto"/>
    </w:pPr>
    <w:rPr>
      <w:sz w:val="20"/>
      <w:szCs w:val="20"/>
    </w:rPr>
  </w:style>
  <w:style w:type="character" w:customStyle="1" w:styleId="TekstopmerkingChar">
    <w:name w:val="Tekst opmerking Char"/>
    <w:basedOn w:val="Standaardalinea-lettertype"/>
    <w:link w:val="Tekstopmerking"/>
    <w:uiPriority w:val="99"/>
    <w:rsid w:val="003C5117"/>
    <w:rPr>
      <w:sz w:val="20"/>
      <w:szCs w:val="20"/>
    </w:rPr>
  </w:style>
  <w:style w:type="paragraph" w:styleId="Onderwerpvanopmerking">
    <w:name w:val="annotation subject"/>
    <w:basedOn w:val="Tekstopmerking"/>
    <w:next w:val="Tekstopmerking"/>
    <w:link w:val="OnderwerpvanopmerkingChar"/>
    <w:uiPriority w:val="99"/>
    <w:semiHidden/>
    <w:unhideWhenUsed/>
    <w:rsid w:val="003C5117"/>
    <w:rPr>
      <w:b/>
      <w:bCs/>
    </w:rPr>
  </w:style>
  <w:style w:type="character" w:customStyle="1" w:styleId="OnderwerpvanopmerkingChar">
    <w:name w:val="Onderwerp van opmerking Char"/>
    <w:basedOn w:val="TekstopmerkingChar"/>
    <w:link w:val="Onderwerpvanopmerking"/>
    <w:uiPriority w:val="99"/>
    <w:semiHidden/>
    <w:rsid w:val="003C51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6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3488529-b61a-446c-bc3c-940c1e2fbf47" xsi:nil="true"/>
    <lcf76f155ced4ddcb4097134ff3c332f xmlns="ebc14c18-db87-4be8-bfc8-ea492fad6f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C6A778AE13934A9825670ED723D7FA" ma:contentTypeVersion="18" ma:contentTypeDescription="Een nieuw document maken." ma:contentTypeScope="" ma:versionID="f60502c3c1040eddf1b3173b3d7d3675">
  <xsd:schema xmlns:xsd="http://www.w3.org/2001/XMLSchema" xmlns:xs="http://www.w3.org/2001/XMLSchema" xmlns:p="http://schemas.microsoft.com/office/2006/metadata/properties" xmlns:ns2="ebc14c18-db87-4be8-bfc8-ea492fad6f86" xmlns:ns3="2b46765a-c53a-47da-80ba-16124f532003" xmlns:ns4="53488529-b61a-446c-bc3c-940c1e2fbf47" targetNamespace="http://schemas.microsoft.com/office/2006/metadata/properties" ma:root="true" ma:fieldsID="220d91ea45c15641669e93c42357d97e" ns2:_="" ns3:_="" ns4:_="">
    <xsd:import namespace="ebc14c18-db87-4be8-bfc8-ea492fad6f86"/>
    <xsd:import namespace="2b46765a-c53a-47da-80ba-16124f532003"/>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14c18-db87-4be8-bfc8-ea492fad6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46765a-c53a-47da-80ba-16124f53200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3064694-6b79-415d-86f7-c7506b144b32}" ma:internalName="TaxCatchAll" ma:showField="CatchAllData" ma:web="7dea31b2-2e3b-4e8f-bfac-0e59a99698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286EA-3DDA-48A6-9195-3C04917D7558}">
  <ds:schemaRefs>
    <ds:schemaRef ds:uri="http://schemas.openxmlformats.org/officeDocument/2006/bibliography"/>
  </ds:schemaRefs>
</ds:datastoreItem>
</file>

<file path=customXml/itemProps2.xml><?xml version="1.0" encoding="utf-8"?>
<ds:datastoreItem xmlns:ds="http://schemas.openxmlformats.org/officeDocument/2006/customXml" ds:itemID="{BBCA999A-922F-4AFD-A88E-3E2B000F6F3F}">
  <ds:schemaRefs>
    <ds:schemaRef ds:uri="http://schemas.microsoft.com/office/2006/metadata/properties"/>
    <ds:schemaRef ds:uri="http://schemas.microsoft.com/office/infopath/2007/PartnerControls"/>
    <ds:schemaRef ds:uri="53488529-b61a-446c-bc3c-940c1e2fbf47"/>
    <ds:schemaRef ds:uri="ebc14c18-db87-4be8-bfc8-ea492fad6f86"/>
  </ds:schemaRefs>
</ds:datastoreItem>
</file>

<file path=customXml/itemProps3.xml><?xml version="1.0" encoding="utf-8"?>
<ds:datastoreItem xmlns:ds="http://schemas.openxmlformats.org/officeDocument/2006/customXml" ds:itemID="{87CE16D3-E329-4D5F-89FB-305B39CC5101}">
  <ds:schemaRefs>
    <ds:schemaRef ds:uri="http://schemas.microsoft.com/sharepoint/v3/contenttype/forms"/>
  </ds:schemaRefs>
</ds:datastoreItem>
</file>

<file path=customXml/itemProps4.xml><?xml version="1.0" encoding="utf-8"?>
<ds:datastoreItem xmlns:ds="http://schemas.openxmlformats.org/officeDocument/2006/customXml" ds:itemID="{9B77FF65-E26A-4104-9FF3-1E089F579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14c18-db87-4be8-bfc8-ea492fad6f86"/>
    <ds:schemaRef ds:uri="2b46765a-c53a-47da-80ba-16124f532003"/>
    <ds:schemaRef ds:uri="53488529-b61a-446c-bc3c-940c1e2fb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1587</Words>
  <Characters>8732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Luuk Muller</dc:creator>
  <cp:keywords/>
  <dc:description/>
  <cp:lastModifiedBy>Eline van Lienden | SNN</cp:lastModifiedBy>
  <cp:revision>2</cp:revision>
  <dcterms:created xsi:type="dcterms:W3CDTF">2026-05-13T13:56:00Z</dcterms:created>
  <dcterms:modified xsi:type="dcterms:W3CDTF">2026-05-13T13:56:00Z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0x0101000BC6A778AE13934A9825670ED723D7FA</vt:lpwstr>
  </property>
</Properties>
</file>