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AAB1" w14:textId="1ED345A7" w:rsidR="00A920CC" w:rsidRPr="00903765" w:rsidRDefault="000D03DB" w:rsidP="000D03DB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z w:val="28"/>
          <w:szCs w:val="28"/>
        </w:rPr>
        <w:t>MIT Haalbaarheid 202</w:t>
      </w:r>
      <w:r w:rsidR="005E0187">
        <w:rPr>
          <w:rFonts w:cstheme="minorHAnsi"/>
          <w:b/>
          <w:bCs/>
          <w:color w:val="FFFFFF" w:themeColor="background1"/>
          <w:sz w:val="28"/>
          <w:szCs w:val="28"/>
        </w:rPr>
        <w:t>5</w:t>
      </w:r>
      <w:r>
        <w:rPr>
          <w:rFonts w:cstheme="minorHAnsi"/>
          <w:b/>
          <w:bCs/>
          <w:color w:val="FFFFFF" w:themeColor="background1"/>
          <w:sz w:val="28"/>
          <w:szCs w:val="28"/>
        </w:rPr>
        <w:t xml:space="preserve"> - 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Juridische or</w:t>
      </w:r>
      <w:r w:rsidR="00340F56">
        <w:rPr>
          <w:rFonts w:cstheme="minorHAnsi"/>
          <w:b/>
          <w:bCs/>
          <w:color w:val="FFFFFF" w:themeColor="background1"/>
          <w:sz w:val="28"/>
          <w:szCs w:val="28"/>
        </w:rPr>
        <w:t>g</w:t>
      </w:r>
      <w:r w:rsidR="00A920CC" w:rsidRPr="00903765">
        <w:rPr>
          <w:rFonts w:cstheme="minorHAnsi"/>
          <w:b/>
          <w:bCs/>
          <w:color w:val="FFFFFF" w:themeColor="background1"/>
          <w:sz w:val="28"/>
          <w:szCs w:val="28"/>
        </w:rPr>
        <w:t>anisatiestructuur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 w:rsidSect="00422D2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F27C3" w14:textId="77777777" w:rsidR="001E2AE6" w:rsidRDefault="001E2AE6" w:rsidP="004F70B2">
      <w:pPr>
        <w:spacing w:after="0" w:line="240" w:lineRule="auto"/>
      </w:pPr>
      <w:r>
        <w:separator/>
      </w:r>
    </w:p>
  </w:endnote>
  <w:endnote w:type="continuationSeparator" w:id="0">
    <w:p w14:paraId="059B8B82" w14:textId="77777777" w:rsidR="001E2AE6" w:rsidRDefault="001E2AE6" w:rsidP="004F70B2">
      <w:pPr>
        <w:spacing w:after="0" w:line="240" w:lineRule="auto"/>
      </w:pPr>
      <w:r>
        <w:continuationSeparator/>
      </w:r>
    </w:p>
  </w:endnote>
  <w:endnote w:type="continuationNotice" w:id="1">
    <w:p w14:paraId="2C85D9EC" w14:textId="77777777" w:rsidR="001E2AE6" w:rsidRDefault="001E2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9303" w14:textId="08EFACE0" w:rsidR="004030AA" w:rsidRPr="004030AA" w:rsidRDefault="001A0283" w:rsidP="007E68F4">
    <w:pPr>
      <w:pStyle w:val="Voettekst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351B912" wp14:editId="289AE351">
          <wp:simplePos x="0" y="0"/>
          <wp:positionH relativeFrom="column">
            <wp:posOffset>-918845</wp:posOffset>
          </wp:positionH>
          <wp:positionV relativeFrom="paragraph">
            <wp:posOffset>-360045</wp:posOffset>
          </wp:positionV>
          <wp:extent cx="7581900" cy="1135685"/>
          <wp:effectExtent l="0" t="0" r="0" b="7620"/>
          <wp:wrapNone/>
          <wp:docPr id="1284934240" name="Afbeelding 2" descr="Afbeelding met tekst, schermopname, Lettertype, Elektrisch blauw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934240" name="Afbeelding 2" descr="Afbeelding met tekst, schermopname, Lettertype, Elektrisch blauw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932" cy="113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1A1EB" w14:textId="5DD32999" w:rsidR="004F70B2" w:rsidRDefault="0020675E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DCEAF" wp14:editId="01DF605D">
              <wp:simplePos x="0" y="0"/>
              <wp:positionH relativeFrom="column">
                <wp:posOffset>1276560</wp:posOffset>
              </wp:positionH>
              <wp:positionV relativeFrom="paragraph">
                <wp:posOffset>703959</wp:posOffset>
              </wp:positionV>
              <wp:extent cx="852336" cy="200025"/>
              <wp:effectExtent l="0" t="0" r="24130" b="28575"/>
              <wp:wrapNone/>
              <wp:docPr id="1914149604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336" cy="2000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612B0D" id="Rechthoek 1" o:spid="_x0000_s1026" style="position:absolute;margin-left:100.5pt;margin-top:55.45pt;width:67.1pt;height:1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" fillcolor="#4472c4 [3204]" strokecolor="#09101d [484]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22406" w14:textId="77777777" w:rsidR="001E2AE6" w:rsidRDefault="001E2AE6" w:rsidP="004F70B2">
      <w:pPr>
        <w:spacing w:after="0" w:line="240" w:lineRule="auto"/>
      </w:pPr>
      <w:r>
        <w:separator/>
      </w:r>
    </w:p>
  </w:footnote>
  <w:footnote w:type="continuationSeparator" w:id="0">
    <w:p w14:paraId="7BA66619" w14:textId="77777777" w:rsidR="001E2AE6" w:rsidRDefault="001E2AE6" w:rsidP="004F70B2">
      <w:pPr>
        <w:spacing w:after="0" w:line="240" w:lineRule="auto"/>
      </w:pPr>
      <w:r>
        <w:continuationSeparator/>
      </w:r>
    </w:p>
  </w:footnote>
  <w:footnote w:type="continuationNotice" w:id="1">
    <w:p w14:paraId="7721C854" w14:textId="77777777" w:rsidR="001E2AE6" w:rsidRDefault="001E2AE6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00F0"/>
    <w:rsid w:val="0005640C"/>
    <w:rsid w:val="00067CE4"/>
    <w:rsid w:val="00083E1C"/>
    <w:rsid w:val="000849DC"/>
    <w:rsid w:val="000A47CA"/>
    <w:rsid w:val="000C1F93"/>
    <w:rsid w:val="000C5964"/>
    <w:rsid w:val="000D03DB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711D7"/>
    <w:rsid w:val="001970F6"/>
    <w:rsid w:val="001A0283"/>
    <w:rsid w:val="001A50F0"/>
    <w:rsid w:val="001B0916"/>
    <w:rsid w:val="001C5B93"/>
    <w:rsid w:val="001E2AE6"/>
    <w:rsid w:val="001E4458"/>
    <w:rsid w:val="001F625A"/>
    <w:rsid w:val="00203628"/>
    <w:rsid w:val="0020675E"/>
    <w:rsid w:val="00230EB7"/>
    <w:rsid w:val="00240204"/>
    <w:rsid w:val="00252C3F"/>
    <w:rsid w:val="00295A75"/>
    <w:rsid w:val="002E571E"/>
    <w:rsid w:val="002F4D3C"/>
    <w:rsid w:val="00306596"/>
    <w:rsid w:val="00340F56"/>
    <w:rsid w:val="003869D5"/>
    <w:rsid w:val="00387953"/>
    <w:rsid w:val="00391B24"/>
    <w:rsid w:val="00392330"/>
    <w:rsid w:val="003C4931"/>
    <w:rsid w:val="003D05AD"/>
    <w:rsid w:val="003D0C96"/>
    <w:rsid w:val="004030AA"/>
    <w:rsid w:val="00410AB6"/>
    <w:rsid w:val="00422D27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C4803"/>
    <w:rsid w:val="004D4D7C"/>
    <w:rsid w:val="004E0FBF"/>
    <w:rsid w:val="004E2446"/>
    <w:rsid w:val="004E49DD"/>
    <w:rsid w:val="004F70B2"/>
    <w:rsid w:val="00576B0E"/>
    <w:rsid w:val="00591B62"/>
    <w:rsid w:val="005951BB"/>
    <w:rsid w:val="005E0187"/>
    <w:rsid w:val="0062506D"/>
    <w:rsid w:val="00626997"/>
    <w:rsid w:val="006319F8"/>
    <w:rsid w:val="006707C3"/>
    <w:rsid w:val="00674AB9"/>
    <w:rsid w:val="006F7068"/>
    <w:rsid w:val="007004E5"/>
    <w:rsid w:val="00703AD9"/>
    <w:rsid w:val="00711942"/>
    <w:rsid w:val="00716C92"/>
    <w:rsid w:val="007477A9"/>
    <w:rsid w:val="00757A10"/>
    <w:rsid w:val="0079106F"/>
    <w:rsid w:val="007C4C0C"/>
    <w:rsid w:val="007C75BE"/>
    <w:rsid w:val="007E448F"/>
    <w:rsid w:val="007E68F4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63B6F"/>
    <w:rsid w:val="00B76C1E"/>
    <w:rsid w:val="00BB6E9F"/>
    <w:rsid w:val="00BD47F1"/>
    <w:rsid w:val="00C042E7"/>
    <w:rsid w:val="00C13548"/>
    <w:rsid w:val="00C546AA"/>
    <w:rsid w:val="00C61D3E"/>
    <w:rsid w:val="00C80BA4"/>
    <w:rsid w:val="00C94A31"/>
    <w:rsid w:val="00C9668E"/>
    <w:rsid w:val="00CA2C0F"/>
    <w:rsid w:val="00CC050A"/>
    <w:rsid w:val="00D10139"/>
    <w:rsid w:val="00D130CE"/>
    <w:rsid w:val="00D21172"/>
    <w:rsid w:val="00D22621"/>
    <w:rsid w:val="00D876BB"/>
    <w:rsid w:val="00D9605A"/>
    <w:rsid w:val="00DA0339"/>
    <w:rsid w:val="00E34350"/>
    <w:rsid w:val="00E505CA"/>
    <w:rsid w:val="00EA7EE2"/>
    <w:rsid w:val="00EC79F7"/>
    <w:rsid w:val="00ED51ED"/>
    <w:rsid w:val="00F17CBA"/>
    <w:rsid w:val="00F41062"/>
    <w:rsid w:val="00F42807"/>
    <w:rsid w:val="00F511D2"/>
    <w:rsid w:val="00F6345E"/>
    <w:rsid w:val="00F74F0E"/>
    <w:rsid w:val="00FE0796"/>
    <w:rsid w:val="00FE1488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0500F0"/>
    <w:rsid w:val="001B4B06"/>
    <w:rsid w:val="0025016C"/>
    <w:rsid w:val="0055730E"/>
    <w:rsid w:val="00644E11"/>
    <w:rsid w:val="009F0A25"/>
    <w:rsid w:val="00B63B6F"/>
    <w:rsid w:val="00C80BA4"/>
    <w:rsid w:val="00C96768"/>
    <w:rsid w:val="00D57C30"/>
    <w:rsid w:val="00E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D8450AE5EE49A5319EC31DA126AB" ma:contentTypeVersion="15" ma:contentTypeDescription="Een nieuw document maken." ma:contentTypeScope="" ma:versionID="9424da575c8d21d2bb9c67fad9869113">
  <xsd:schema xmlns:xsd="http://www.w3.org/2001/XMLSchema" xmlns:xs="http://www.w3.org/2001/XMLSchema" xmlns:p="http://schemas.microsoft.com/office/2006/metadata/properties" xmlns:ns2="583b6166-6442-4573-86fb-8f50442b6fae" xmlns:ns3="53488529-b61a-446c-bc3c-940c1e2fbf47" xmlns:ns4="7dea31b2-2e3b-4e8f-bfac-0e59a99698d7" targetNamespace="http://schemas.microsoft.com/office/2006/metadata/properties" ma:root="true" ma:fieldsID="b5417772a91707c48179a27b471f8d28" ns2:_="" ns3:_="" ns4:_="">
    <xsd:import namespace="583b6166-6442-4573-86fb-8f50442b6fae"/>
    <xsd:import namespace="53488529-b61a-446c-bc3c-940c1e2fbf47"/>
    <xsd:import namespace="7dea31b2-2e3b-4e8f-bfac-0e59a996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b6166-6442-4573-86fb-8f50442b6fa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31b2-2e3b-4e8f-bfac-0e59a996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lcf76f155ced4ddcb4097134ff3c332f xmlns="583b6166-6442-4573-86fb-8f50442b6fa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AE5B3-E06D-421C-9C21-540D8BCAC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b6166-6442-4573-86fb-8f50442b6fae"/>
    <ds:schemaRef ds:uri="53488529-b61a-446c-bc3c-940c1e2fbf47"/>
    <ds:schemaRef ds:uri="7dea31b2-2e3b-4e8f-bfac-0e59a996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schemas.microsoft.com/office/infopath/2007/PartnerControls"/>
    <ds:schemaRef ds:uri="53488529-b61a-446c-bc3c-940c1e2fbf47"/>
    <ds:schemaRef ds:uri="583b6166-6442-4573-86fb-8f50442b6fae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733</Words>
  <Characters>3930</Characters>
  <Application>Microsoft Office Word</Application>
  <DocSecurity>0</DocSecurity>
  <Lines>170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6</cp:revision>
  <cp:lastPrinted>2021-02-26T10:56:00Z</cp:lastPrinted>
  <dcterms:created xsi:type="dcterms:W3CDTF">2025-03-11T15:41:00Z</dcterms:created>
  <dcterms:modified xsi:type="dcterms:W3CDTF">2025-03-25T14:18:00Z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0x0101002470D8450AE5EE49A5319EC31DA126AB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  <property fmtid="{D5CDD505-2E9C-101B-9397-08002B2CF9AE}" pid="7" name="MediaServiceImageTags">
    <vt:lpwstr/>
  </property>
</Properties>
</file>